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DBF" w:rsidRPr="006F2F7F" w:rsidRDefault="00201DBF" w:rsidP="00201DBF">
      <w:pPr>
        <w:jc w:val="center"/>
        <w:rPr>
          <w:b/>
          <w:sz w:val="20"/>
          <w:szCs w:val="20"/>
          <w:u w:val="single"/>
        </w:rPr>
      </w:pPr>
      <w:bookmarkStart w:id="0" w:name="_GoBack"/>
      <w:bookmarkEnd w:id="0"/>
      <w:r w:rsidRPr="006F2F7F">
        <w:rPr>
          <w:b/>
          <w:sz w:val="20"/>
          <w:szCs w:val="20"/>
          <w:u w:val="single"/>
        </w:rPr>
        <w:t>Pupil Premium</w:t>
      </w:r>
      <w:r w:rsidR="002C43FD" w:rsidRPr="006F2F7F">
        <w:rPr>
          <w:b/>
          <w:sz w:val="20"/>
          <w:szCs w:val="20"/>
          <w:u w:val="single"/>
        </w:rPr>
        <w:t xml:space="preserve"> expenditure</w:t>
      </w:r>
      <w:r w:rsidR="00304E43" w:rsidRPr="006F2F7F">
        <w:rPr>
          <w:b/>
          <w:sz w:val="20"/>
          <w:szCs w:val="20"/>
          <w:u w:val="single"/>
        </w:rPr>
        <w:t xml:space="preserve"> 201</w:t>
      </w:r>
      <w:r w:rsidR="001A57F0">
        <w:rPr>
          <w:b/>
          <w:sz w:val="20"/>
          <w:szCs w:val="20"/>
          <w:u w:val="single"/>
        </w:rPr>
        <w:t>7-18</w:t>
      </w:r>
    </w:p>
    <w:p w:rsidR="00630F40" w:rsidRPr="006F2F7F" w:rsidRDefault="00630F40" w:rsidP="003C229B">
      <w:pPr>
        <w:spacing w:after="0"/>
        <w:rPr>
          <w:sz w:val="20"/>
          <w:szCs w:val="20"/>
        </w:rPr>
      </w:pPr>
    </w:p>
    <w:p w:rsidR="003C229B" w:rsidRPr="006F2F7F" w:rsidRDefault="003C229B" w:rsidP="003C229B">
      <w:pPr>
        <w:spacing w:after="0"/>
        <w:rPr>
          <w:b/>
          <w:sz w:val="20"/>
          <w:szCs w:val="20"/>
          <w:u w:val="single"/>
        </w:rPr>
      </w:pPr>
      <w:r w:rsidRPr="006F2F7F">
        <w:rPr>
          <w:b/>
          <w:sz w:val="20"/>
          <w:szCs w:val="20"/>
          <w:u w:val="single"/>
        </w:rPr>
        <w:t>Pupil Premium funding awarded</w:t>
      </w:r>
      <w:r w:rsidR="001A57F0">
        <w:rPr>
          <w:b/>
          <w:sz w:val="20"/>
          <w:szCs w:val="20"/>
          <w:u w:val="single"/>
        </w:rPr>
        <w:t xml:space="preserve"> to </w:t>
      </w:r>
      <w:proofErr w:type="spellStart"/>
      <w:r w:rsidR="001A57F0">
        <w:rPr>
          <w:b/>
          <w:sz w:val="20"/>
          <w:szCs w:val="20"/>
          <w:u w:val="single"/>
        </w:rPr>
        <w:t>Lingdale</w:t>
      </w:r>
      <w:proofErr w:type="spellEnd"/>
      <w:r w:rsidR="001A57F0">
        <w:rPr>
          <w:b/>
          <w:sz w:val="20"/>
          <w:szCs w:val="20"/>
          <w:u w:val="single"/>
        </w:rPr>
        <w:t xml:space="preserve"> in April 2017</w:t>
      </w:r>
      <w:r w:rsidRPr="006F2F7F">
        <w:rPr>
          <w:b/>
          <w:sz w:val="20"/>
          <w:szCs w:val="20"/>
          <w:u w:val="single"/>
        </w:rPr>
        <w:t>-</w:t>
      </w:r>
      <w:r w:rsidR="001F759C">
        <w:rPr>
          <w:b/>
          <w:sz w:val="20"/>
          <w:szCs w:val="20"/>
          <w:u w:val="single"/>
        </w:rPr>
        <w:t xml:space="preserve"> March</w:t>
      </w:r>
      <w:r w:rsidR="001A57F0">
        <w:rPr>
          <w:b/>
          <w:sz w:val="20"/>
          <w:szCs w:val="20"/>
          <w:u w:val="single"/>
        </w:rPr>
        <w:t xml:space="preserve"> 2018</w:t>
      </w:r>
    </w:p>
    <w:p w:rsidR="003C229B" w:rsidRDefault="001A57F0" w:rsidP="003C229B">
      <w:pPr>
        <w:spacing w:after="0"/>
        <w:rPr>
          <w:sz w:val="20"/>
          <w:szCs w:val="20"/>
        </w:rPr>
      </w:pPr>
      <w:r>
        <w:rPr>
          <w:sz w:val="20"/>
          <w:szCs w:val="20"/>
        </w:rPr>
        <w:t xml:space="preserve">At </w:t>
      </w:r>
      <w:proofErr w:type="spellStart"/>
      <w:r>
        <w:rPr>
          <w:sz w:val="20"/>
          <w:szCs w:val="20"/>
        </w:rPr>
        <w:t>Lingdale</w:t>
      </w:r>
      <w:proofErr w:type="spellEnd"/>
      <w:r>
        <w:rPr>
          <w:sz w:val="20"/>
          <w:szCs w:val="20"/>
        </w:rPr>
        <w:t xml:space="preserve"> Primary School, during the 2017-2018 academic year, there were </w:t>
      </w:r>
      <w:r w:rsidR="00AF4B18">
        <w:rPr>
          <w:sz w:val="20"/>
          <w:szCs w:val="20"/>
        </w:rPr>
        <w:t>56</w:t>
      </w:r>
      <w:r w:rsidR="003C229B" w:rsidRPr="006F2F7F">
        <w:rPr>
          <w:sz w:val="20"/>
          <w:szCs w:val="20"/>
        </w:rPr>
        <w:t>% of pupils eligible for the premium.  During this academic year, the amount of Pupil Premi</w:t>
      </w:r>
      <w:r>
        <w:rPr>
          <w:sz w:val="20"/>
          <w:szCs w:val="20"/>
        </w:rPr>
        <w:t>um awarded to the school was £61</w:t>
      </w:r>
      <w:r w:rsidR="003C229B" w:rsidRPr="006F2F7F">
        <w:rPr>
          <w:sz w:val="20"/>
          <w:szCs w:val="20"/>
        </w:rPr>
        <w:t>,600</w:t>
      </w:r>
      <w:r w:rsidR="00AF4B18">
        <w:rPr>
          <w:sz w:val="20"/>
          <w:szCs w:val="20"/>
        </w:rPr>
        <w:t>.  There were 81 children on role from Reception to Year 6.  46/81 were entitled = 56%.</w:t>
      </w:r>
    </w:p>
    <w:p w:rsidR="003B0201" w:rsidRDefault="003B0201" w:rsidP="003C229B">
      <w:pPr>
        <w:spacing w:after="0"/>
        <w:rPr>
          <w:sz w:val="20"/>
          <w:szCs w:val="20"/>
        </w:rPr>
      </w:pPr>
    </w:p>
    <w:p w:rsidR="00AF4B18" w:rsidRDefault="00AF4B18" w:rsidP="003C229B">
      <w:pPr>
        <w:spacing w:after="0"/>
        <w:rPr>
          <w:sz w:val="20"/>
          <w:szCs w:val="20"/>
        </w:rPr>
      </w:pPr>
      <w:r>
        <w:rPr>
          <w:sz w:val="20"/>
          <w:szCs w:val="20"/>
        </w:rPr>
        <w:t xml:space="preserve">Amount of PP grant received per child = £1320 </w:t>
      </w:r>
    </w:p>
    <w:p w:rsidR="00AF4B18" w:rsidRPr="006F2F7F" w:rsidRDefault="00AF4B18" w:rsidP="003C229B">
      <w:pPr>
        <w:spacing w:after="0"/>
        <w:rPr>
          <w:sz w:val="20"/>
          <w:szCs w:val="20"/>
        </w:rPr>
      </w:pPr>
    </w:p>
    <w:p w:rsidR="003C229B" w:rsidRPr="006F2F7F" w:rsidRDefault="003C229B" w:rsidP="003C229B">
      <w:pPr>
        <w:spacing w:after="0"/>
        <w:rPr>
          <w:b/>
          <w:sz w:val="20"/>
          <w:szCs w:val="20"/>
        </w:rPr>
      </w:pPr>
      <w:r w:rsidRPr="006F2F7F">
        <w:rPr>
          <w:b/>
          <w:sz w:val="20"/>
          <w:szCs w:val="20"/>
        </w:rPr>
        <w:t>What was the funding used for?</w:t>
      </w:r>
    </w:p>
    <w:p w:rsidR="003C229B" w:rsidRPr="006F2F7F" w:rsidRDefault="003C229B" w:rsidP="003C229B">
      <w:pPr>
        <w:spacing w:after="0"/>
        <w:rPr>
          <w:sz w:val="20"/>
          <w:szCs w:val="20"/>
        </w:rPr>
      </w:pPr>
      <w:r w:rsidRPr="006F2F7F">
        <w:rPr>
          <w:sz w:val="20"/>
          <w:szCs w:val="20"/>
        </w:rPr>
        <w:t>This funding has been used to provide the respective children with appropriate support to make expected progress in their learning. This has consisted of:</w:t>
      </w:r>
    </w:p>
    <w:p w:rsidR="003C229B" w:rsidRPr="006F2F7F" w:rsidRDefault="003C229B" w:rsidP="002F7377">
      <w:pPr>
        <w:spacing w:after="0"/>
        <w:ind w:left="714"/>
        <w:rPr>
          <w:sz w:val="20"/>
          <w:szCs w:val="20"/>
        </w:rPr>
      </w:pPr>
    </w:p>
    <w:tbl>
      <w:tblPr>
        <w:tblStyle w:val="TableGrid"/>
        <w:tblW w:w="0" w:type="auto"/>
        <w:tblLayout w:type="fixed"/>
        <w:tblLook w:val="04A0" w:firstRow="1" w:lastRow="0" w:firstColumn="1" w:lastColumn="0" w:noHBand="0" w:noVBand="1"/>
      </w:tblPr>
      <w:tblGrid>
        <w:gridCol w:w="1384"/>
        <w:gridCol w:w="2297"/>
        <w:gridCol w:w="2410"/>
        <w:gridCol w:w="7938"/>
        <w:gridCol w:w="1530"/>
      </w:tblGrid>
      <w:tr w:rsidR="002E33B3" w:rsidRPr="006F2F7F" w:rsidTr="007F113F">
        <w:trPr>
          <w:trHeight w:val="504"/>
        </w:trPr>
        <w:tc>
          <w:tcPr>
            <w:tcW w:w="1384" w:type="dxa"/>
          </w:tcPr>
          <w:p w:rsidR="002E33B3" w:rsidRPr="002E33B3" w:rsidRDefault="002E33B3" w:rsidP="002E33B3">
            <w:pPr>
              <w:ind w:left="360"/>
              <w:rPr>
                <w:b/>
                <w:sz w:val="20"/>
                <w:szCs w:val="20"/>
              </w:rPr>
            </w:pPr>
            <w:r>
              <w:rPr>
                <w:b/>
                <w:sz w:val="20"/>
                <w:szCs w:val="20"/>
              </w:rPr>
              <w:t>Year Group</w:t>
            </w:r>
          </w:p>
        </w:tc>
        <w:tc>
          <w:tcPr>
            <w:tcW w:w="2297" w:type="dxa"/>
          </w:tcPr>
          <w:p w:rsidR="002E33B3" w:rsidRPr="002E33B3" w:rsidRDefault="002E33B3" w:rsidP="002E33B3">
            <w:pPr>
              <w:ind w:left="360"/>
              <w:rPr>
                <w:b/>
                <w:sz w:val="20"/>
                <w:szCs w:val="20"/>
              </w:rPr>
            </w:pPr>
            <w:r>
              <w:rPr>
                <w:b/>
                <w:sz w:val="20"/>
                <w:szCs w:val="20"/>
              </w:rPr>
              <w:t>Barriers</w:t>
            </w:r>
          </w:p>
        </w:tc>
        <w:tc>
          <w:tcPr>
            <w:tcW w:w="2410" w:type="dxa"/>
          </w:tcPr>
          <w:p w:rsidR="002E33B3" w:rsidRPr="002E33B3" w:rsidRDefault="002E33B3" w:rsidP="002E33B3">
            <w:pPr>
              <w:ind w:left="360"/>
              <w:rPr>
                <w:b/>
                <w:sz w:val="20"/>
                <w:szCs w:val="20"/>
              </w:rPr>
            </w:pPr>
            <w:r>
              <w:rPr>
                <w:b/>
                <w:sz w:val="20"/>
                <w:szCs w:val="20"/>
              </w:rPr>
              <w:t>Addressing barriers</w:t>
            </w:r>
          </w:p>
        </w:tc>
        <w:tc>
          <w:tcPr>
            <w:tcW w:w="7938" w:type="dxa"/>
          </w:tcPr>
          <w:p w:rsidR="002E33B3" w:rsidRPr="002E33B3" w:rsidRDefault="002E33B3" w:rsidP="002E33B3">
            <w:pPr>
              <w:ind w:left="360"/>
              <w:jc w:val="center"/>
              <w:rPr>
                <w:b/>
                <w:sz w:val="20"/>
                <w:szCs w:val="20"/>
              </w:rPr>
            </w:pPr>
            <w:r>
              <w:rPr>
                <w:b/>
                <w:sz w:val="20"/>
                <w:szCs w:val="20"/>
              </w:rPr>
              <w:t xml:space="preserve">Measure </w:t>
            </w:r>
            <w:r w:rsidR="00AB46E6">
              <w:rPr>
                <w:b/>
                <w:sz w:val="20"/>
                <w:szCs w:val="20"/>
              </w:rPr>
              <w:t xml:space="preserve">/ Impact </w:t>
            </w:r>
          </w:p>
        </w:tc>
        <w:tc>
          <w:tcPr>
            <w:tcW w:w="1530" w:type="dxa"/>
          </w:tcPr>
          <w:p w:rsidR="002E33B3" w:rsidRPr="002E33B3" w:rsidRDefault="002E33B3" w:rsidP="002E33B3">
            <w:pPr>
              <w:ind w:left="360"/>
              <w:rPr>
                <w:b/>
                <w:sz w:val="20"/>
                <w:szCs w:val="20"/>
              </w:rPr>
            </w:pPr>
            <w:r>
              <w:rPr>
                <w:b/>
                <w:sz w:val="20"/>
                <w:szCs w:val="20"/>
              </w:rPr>
              <w:t>Cost</w:t>
            </w:r>
          </w:p>
          <w:p w:rsidR="002E33B3" w:rsidRDefault="002E33B3" w:rsidP="002E33B3">
            <w:pPr>
              <w:pStyle w:val="ListParagraph"/>
              <w:rPr>
                <w:b/>
                <w:sz w:val="20"/>
                <w:szCs w:val="20"/>
              </w:rPr>
            </w:pPr>
          </w:p>
          <w:p w:rsidR="002E33B3" w:rsidRPr="00AF4B18" w:rsidRDefault="002E33B3" w:rsidP="002E33B3">
            <w:pPr>
              <w:pStyle w:val="ListParagraph"/>
              <w:rPr>
                <w:b/>
                <w:sz w:val="20"/>
                <w:szCs w:val="20"/>
              </w:rPr>
            </w:pPr>
          </w:p>
        </w:tc>
      </w:tr>
      <w:tr w:rsidR="00FB528D" w:rsidRPr="00FB528D" w:rsidTr="007F113F">
        <w:tc>
          <w:tcPr>
            <w:tcW w:w="1384" w:type="dxa"/>
            <w:hideMark/>
          </w:tcPr>
          <w:p w:rsidR="00FB528D" w:rsidRPr="00FB528D" w:rsidRDefault="00FB528D" w:rsidP="00FB528D">
            <w:pPr>
              <w:spacing w:before="600" w:after="600" w:line="240" w:lineRule="auto"/>
              <w:rPr>
                <w:rFonts w:asciiTheme="majorHAnsi" w:eastAsia="Times New Roman" w:hAnsiTheme="majorHAnsi" w:cs="Calibri"/>
                <w:color w:val="625B5C"/>
                <w:lang w:eastAsia="en-GB"/>
              </w:rPr>
            </w:pPr>
            <w:r w:rsidRPr="00FB528D">
              <w:rPr>
                <w:rFonts w:asciiTheme="majorHAnsi" w:eastAsia="Times New Roman" w:hAnsiTheme="majorHAnsi" w:cs="Calibri"/>
                <w:color w:val="625B5C"/>
                <w:lang w:eastAsia="en-GB"/>
              </w:rPr>
              <w:t>Teaching Assistants</w:t>
            </w:r>
          </w:p>
          <w:p w:rsidR="00FB528D" w:rsidRPr="00FB528D" w:rsidRDefault="00FB528D" w:rsidP="00FB528D">
            <w:pPr>
              <w:spacing w:after="150" w:line="240" w:lineRule="auto"/>
              <w:rPr>
                <w:rFonts w:asciiTheme="majorHAnsi" w:eastAsia="Times New Roman" w:hAnsiTheme="majorHAnsi" w:cs="Calibri"/>
                <w:color w:val="494243"/>
                <w:lang w:eastAsia="en-GB"/>
              </w:rPr>
            </w:pPr>
            <w:r w:rsidRPr="00FB528D">
              <w:rPr>
                <w:rFonts w:asciiTheme="majorHAnsi" w:eastAsia="Times New Roman" w:hAnsiTheme="majorHAnsi" w:cs="Calibri"/>
                <w:color w:val="494243"/>
                <w:lang w:eastAsia="en-GB"/>
              </w:rPr>
              <w:t>Mainstream</w:t>
            </w:r>
          </w:p>
        </w:tc>
        <w:tc>
          <w:tcPr>
            <w:tcW w:w="2297" w:type="dxa"/>
            <w:hideMark/>
          </w:tcPr>
          <w:p w:rsidR="00FB528D" w:rsidRPr="00CE4234" w:rsidRDefault="00FB528D" w:rsidP="001F759C">
            <w:pPr>
              <w:rPr>
                <w:rFonts w:asciiTheme="majorHAnsi" w:hAnsiTheme="majorHAnsi"/>
              </w:rPr>
            </w:pPr>
            <w:r w:rsidRPr="00CE4234">
              <w:rPr>
                <w:rFonts w:asciiTheme="majorHAnsi" w:hAnsiTheme="majorHAnsi"/>
              </w:rPr>
              <w:t>Slow processing</w:t>
            </w:r>
          </w:p>
          <w:p w:rsidR="00FB528D" w:rsidRPr="00CE4234" w:rsidRDefault="00FB528D" w:rsidP="001F759C">
            <w:pPr>
              <w:rPr>
                <w:rFonts w:asciiTheme="majorHAnsi" w:hAnsiTheme="majorHAnsi"/>
              </w:rPr>
            </w:pPr>
            <w:r w:rsidRPr="00CE4234">
              <w:rPr>
                <w:rFonts w:asciiTheme="majorHAnsi" w:hAnsiTheme="majorHAnsi"/>
              </w:rPr>
              <w:t>Short and long term memory</w:t>
            </w:r>
          </w:p>
          <w:p w:rsidR="00FB528D" w:rsidRPr="00CE4234" w:rsidRDefault="00FB528D" w:rsidP="001F759C">
            <w:pPr>
              <w:rPr>
                <w:rFonts w:asciiTheme="majorHAnsi" w:hAnsiTheme="majorHAnsi"/>
              </w:rPr>
            </w:pPr>
            <w:r w:rsidRPr="00CE4234">
              <w:rPr>
                <w:rFonts w:asciiTheme="majorHAnsi" w:hAnsiTheme="majorHAnsi"/>
              </w:rPr>
              <w:t>Comprehension</w:t>
            </w:r>
          </w:p>
          <w:p w:rsidR="00FB528D" w:rsidRPr="00CE4234" w:rsidRDefault="00FB528D" w:rsidP="001F759C">
            <w:pPr>
              <w:rPr>
                <w:rFonts w:asciiTheme="majorHAnsi" w:hAnsiTheme="majorHAnsi"/>
              </w:rPr>
            </w:pPr>
            <w:r w:rsidRPr="00CE4234">
              <w:rPr>
                <w:rFonts w:asciiTheme="majorHAnsi" w:hAnsiTheme="majorHAnsi"/>
              </w:rPr>
              <w:t>Language</w:t>
            </w:r>
          </w:p>
          <w:p w:rsidR="00FB528D" w:rsidRPr="00CE4234" w:rsidRDefault="00FB528D" w:rsidP="001F759C">
            <w:pPr>
              <w:rPr>
                <w:rFonts w:asciiTheme="majorHAnsi" w:hAnsiTheme="majorHAnsi"/>
              </w:rPr>
            </w:pPr>
            <w:r w:rsidRPr="00CE4234">
              <w:rPr>
                <w:rFonts w:asciiTheme="majorHAnsi" w:hAnsiTheme="majorHAnsi"/>
              </w:rPr>
              <w:t>Dyslexia</w:t>
            </w:r>
          </w:p>
          <w:p w:rsidR="00FB528D" w:rsidRPr="00CE4234" w:rsidRDefault="00FB528D" w:rsidP="001F759C">
            <w:pPr>
              <w:rPr>
                <w:rFonts w:asciiTheme="majorHAnsi" w:hAnsiTheme="majorHAnsi"/>
              </w:rPr>
            </w:pPr>
            <w:r w:rsidRPr="00CE4234">
              <w:rPr>
                <w:rFonts w:asciiTheme="majorHAnsi" w:hAnsiTheme="majorHAnsi"/>
              </w:rPr>
              <w:t>Speech and language</w:t>
            </w:r>
          </w:p>
          <w:p w:rsidR="00FB528D" w:rsidRPr="00CE4234" w:rsidRDefault="00FB528D" w:rsidP="001F759C">
            <w:pPr>
              <w:rPr>
                <w:rFonts w:asciiTheme="majorHAnsi" w:hAnsiTheme="majorHAnsi"/>
              </w:rPr>
            </w:pPr>
            <w:r w:rsidRPr="00CE4234">
              <w:rPr>
                <w:rFonts w:asciiTheme="majorHAnsi" w:hAnsiTheme="majorHAnsi"/>
              </w:rPr>
              <w:t>Dyscalculia and Gaps in calculation processes linked to need for Overlearning</w:t>
            </w:r>
          </w:p>
          <w:p w:rsidR="00FB528D" w:rsidRPr="00CE4234" w:rsidRDefault="00FB528D" w:rsidP="001F759C">
            <w:pPr>
              <w:rPr>
                <w:rFonts w:asciiTheme="majorHAnsi" w:hAnsiTheme="majorHAnsi"/>
              </w:rPr>
            </w:pPr>
            <w:r w:rsidRPr="00CE4234">
              <w:rPr>
                <w:rFonts w:asciiTheme="majorHAnsi" w:hAnsiTheme="majorHAnsi"/>
              </w:rPr>
              <w:lastRenderedPageBreak/>
              <w:t>Attention deficit</w:t>
            </w:r>
          </w:p>
        </w:tc>
        <w:tc>
          <w:tcPr>
            <w:tcW w:w="2410" w:type="dxa"/>
            <w:hideMark/>
          </w:tcPr>
          <w:p w:rsidR="00FB528D" w:rsidRPr="00CE4234" w:rsidRDefault="00FB528D" w:rsidP="001F759C">
            <w:pPr>
              <w:rPr>
                <w:rFonts w:asciiTheme="majorHAnsi" w:hAnsiTheme="majorHAnsi"/>
              </w:rPr>
            </w:pPr>
            <w:r w:rsidRPr="00CE4234">
              <w:rPr>
                <w:rFonts w:asciiTheme="majorHAnsi" w:hAnsiTheme="majorHAnsi"/>
              </w:rPr>
              <w:lastRenderedPageBreak/>
              <w:t>Quiet small group</w:t>
            </w:r>
          </w:p>
          <w:p w:rsidR="00FB528D" w:rsidRPr="00CE4234" w:rsidRDefault="00FB528D" w:rsidP="001F759C">
            <w:pPr>
              <w:rPr>
                <w:rFonts w:asciiTheme="majorHAnsi" w:hAnsiTheme="majorHAnsi"/>
              </w:rPr>
            </w:pPr>
            <w:r w:rsidRPr="00CE4234">
              <w:rPr>
                <w:rFonts w:asciiTheme="majorHAnsi" w:hAnsiTheme="majorHAnsi"/>
              </w:rPr>
              <w:t>Over learning</w:t>
            </w:r>
          </w:p>
          <w:p w:rsidR="00FB528D" w:rsidRPr="00CE4234" w:rsidRDefault="00FB528D" w:rsidP="001F759C">
            <w:pPr>
              <w:rPr>
                <w:rFonts w:asciiTheme="majorHAnsi" w:hAnsiTheme="majorHAnsi"/>
              </w:rPr>
            </w:pPr>
            <w:r w:rsidRPr="00CE4234">
              <w:rPr>
                <w:rFonts w:asciiTheme="majorHAnsi" w:hAnsiTheme="majorHAnsi"/>
              </w:rPr>
              <w:t>Inference training</w:t>
            </w:r>
          </w:p>
          <w:p w:rsidR="00FB528D" w:rsidRPr="00CE4234" w:rsidRDefault="00FB528D" w:rsidP="001F759C">
            <w:pPr>
              <w:rPr>
                <w:rFonts w:asciiTheme="majorHAnsi" w:hAnsiTheme="majorHAnsi"/>
              </w:rPr>
            </w:pPr>
            <w:r w:rsidRPr="00CE4234">
              <w:rPr>
                <w:rFonts w:asciiTheme="majorHAnsi" w:hAnsiTheme="majorHAnsi"/>
              </w:rPr>
              <w:t>Reading</w:t>
            </w:r>
          </w:p>
          <w:p w:rsidR="00FB528D" w:rsidRPr="00CE4234" w:rsidRDefault="001F14AE" w:rsidP="001F759C">
            <w:pPr>
              <w:rPr>
                <w:rFonts w:asciiTheme="majorHAnsi" w:hAnsiTheme="majorHAnsi"/>
              </w:rPr>
            </w:pPr>
            <w:r>
              <w:rPr>
                <w:rFonts w:asciiTheme="majorHAnsi" w:hAnsiTheme="majorHAnsi"/>
              </w:rPr>
              <w:t>Recip</w:t>
            </w:r>
            <w:r w:rsidR="00FB528D" w:rsidRPr="00CE4234">
              <w:rPr>
                <w:rFonts w:asciiTheme="majorHAnsi" w:hAnsiTheme="majorHAnsi"/>
              </w:rPr>
              <w:t>r</w:t>
            </w:r>
            <w:r>
              <w:rPr>
                <w:rFonts w:asciiTheme="majorHAnsi" w:hAnsiTheme="majorHAnsi"/>
              </w:rPr>
              <w:t>o</w:t>
            </w:r>
            <w:r w:rsidR="00FB528D" w:rsidRPr="00CE4234">
              <w:rPr>
                <w:rFonts w:asciiTheme="majorHAnsi" w:hAnsiTheme="majorHAnsi"/>
              </w:rPr>
              <w:t xml:space="preserve">cal Reading </w:t>
            </w:r>
          </w:p>
          <w:p w:rsidR="00FB528D" w:rsidRPr="00CE4234" w:rsidRDefault="00FB528D" w:rsidP="001F759C">
            <w:pPr>
              <w:rPr>
                <w:rFonts w:asciiTheme="majorHAnsi" w:hAnsiTheme="majorHAnsi"/>
              </w:rPr>
            </w:pPr>
            <w:r w:rsidRPr="00CE4234">
              <w:rPr>
                <w:rFonts w:asciiTheme="majorHAnsi" w:hAnsiTheme="majorHAnsi"/>
              </w:rPr>
              <w:t>LSA support</w:t>
            </w:r>
          </w:p>
          <w:p w:rsidR="00FB528D" w:rsidRPr="00CE4234" w:rsidRDefault="00FB528D" w:rsidP="001F759C">
            <w:pPr>
              <w:rPr>
                <w:rFonts w:asciiTheme="majorHAnsi" w:hAnsiTheme="majorHAnsi"/>
              </w:rPr>
            </w:pPr>
            <w:r w:rsidRPr="00CE4234">
              <w:rPr>
                <w:rFonts w:asciiTheme="majorHAnsi" w:hAnsiTheme="majorHAnsi"/>
              </w:rPr>
              <w:t>Edge Hill </w:t>
            </w:r>
          </w:p>
          <w:p w:rsidR="00FB528D" w:rsidRPr="00CE4234" w:rsidRDefault="00FB528D" w:rsidP="001F759C">
            <w:pPr>
              <w:rPr>
                <w:rFonts w:asciiTheme="majorHAnsi" w:hAnsiTheme="majorHAnsi"/>
              </w:rPr>
            </w:pPr>
            <w:r w:rsidRPr="00CE4234">
              <w:rPr>
                <w:rFonts w:asciiTheme="majorHAnsi" w:hAnsiTheme="majorHAnsi"/>
              </w:rPr>
              <w:t>Small regular groups work at interventions time and within core lessons</w:t>
            </w:r>
          </w:p>
        </w:tc>
        <w:tc>
          <w:tcPr>
            <w:tcW w:w="7938" w:type="dxa"/>
            <w:hideMark/>
          </w:tcPr>
          <w:p w:rsidR="00FB528D" w:rsidRDefault="00FB528D" w:rsidP="001F759C">
            <w:pPr>
              <w:rPr>
                <w:rFonts w:asciiTheme="majorHAnsi" w:hAnsiTheme="majorHAnsi"/>
              </w:rPr>
            </w:pPr>
            <w:r w:rsidRPr="00CE4234">
              <w:rPr>
                <w:rFonts w:asciiTheme="majorHAnsi" w:hAnsiTheme="majorHAnsi"/>
              </w:rPr>
              <w:t>All Teaching Assistants are responsible and accountable through Performance Management for impacting on standards for vulnerable groups. They are all trained in delivering quality precision teaching tools to close the gap in key skills. All TA’s have been invaluable to closing our gap for the disadvantaged.</w:t>
            </w:r>
          </w:p>
          <w:p w:rsidR="00AB46E6" w:rsidRPr="00AB46E6" w:rsidRDefault="00B446A3" w:rsidP="00AB46E6">
            <w:pPr>
              <w:widowControl w:val="0"/>
              <w:autoSpaceDE w:val="0"/>
              <w:autoSpaceDN w:val="0"/>
              <w:adjustRightInd w:val="0"/>
              <w:spacing w:after="0" w:line="240" w:lineRule="auto"/>
              <w:rPr>
                <w:rFonts w:eastAsia="Times New Roman" w:cs="Calibri"/>
                <w:sz w:val="20"/>
                <w:szCs w:val="20"/>
                <w:lang w:eastAsia="en-GB"/>
              </w:rPr>
            </w:pPr>
            <w:r>
              <w:rPr>
                <w:rFonts w:eastAsia="Times New Roman" w:cs="Calibri"/>
                <w:sz w:val="20"/>
                <w:szCs w:val="20"/>
                <w:lang w:eastAsia="en-GB"/>
              </w:rPr>
              <w:t>KS1-78</w:t>
            </w:r>
            <w:r w:rsidR="00AB46E6" w:rsidRPr="00AB46E6">
              <w:rPr>
                <w:rFonts w:eastAsia="Times New Roman" w:cs="Calibri"/>
                <w:sz w:val="20"/>
                <w:szCs w:val="20"/>
                <w:lang w:eastAsia="en-GB"/>
              </w:rPr>
              <w:t xml:space="preserve">% </w:t>
            </w:r>
            <w:proofErr w:type="spellStart"/>
            <w:r w:rsidR="00AB46E6" w:rsidRPr="00AB46E6">
              <w:rPr>
                <w:rFonts w:eastAsia="Times New Roman" w:cs="Calibri"/>
                <w:sz w:val="20"/>
                <w:szCs w:val="20"/>
                <w:lang w:eastAsia="en-GB"/>
              </w:rPr>
              <w:t>Disad</w:t>
            </w:r>
            <w:proofErr w:type="spellEnd"/>
            <w:r w:rsidR="00AB46E6" w:rsidRPr="00AB46E6">
              <w:rPr>
                <w:rFonts w:eastAsia="Times New Roman" w:cs="Calibri"/>
                <w:sz w:val="20"/>
                <w:szCs w:val="20"/>
                <w:lang w:eastAsia="en-GB"/>
              </w:rPr>
              <w:t xml:space="preserve"> reading 79% Nat other</w:t>
            </w:r>
            <w:r>
              <w:rPr>
                <w:rFonts w:eastAsia="Times New Roman" w:cs="Calibri"/>
                <w:sz w:val="20"/>
                <w:szCs w:val="20"/>
                <w:lang w:eastAsia="en-GB"/>
              </w:rPr>
              <w:t xml:space="preserve"> – gap 0.2%</w:t>
            </w:r>
          </w:p>
          <w:p w:rsidR="00AB46E6" w:rsidRPr="00AB46E6" w:rsidRDefault="00B446A3" w:rsidP="00AB46E6">
            <w:pPr>
              <w:widowControl w:val="0"/>
              <w:autoSpaceDE w:val="0"/>
              <w:autoSpaceDN w:val="0"/>
              <w:adjustRightInd w:val="0"/>
              <w:spacing w:after="0" w:line="240" w:lineRule="auto"/>
              <w:rPr>
                <w:rFonts w:eastAsia="Times New Roman" w:cs="Calibri"/>
                <w:sz w:val="20"/>
                <w:szCs w:val="20"/>
                <w:lang w:eastAsia="en-GB"/>
              </w:rPr>
            </w:pPr>
            <w:r>
              <w:rPr>
                <w:rFonts w:eastAsia="Times New Roman" w:cs="Calibri"/>
                <w:sz w:val="20"/>
                <w:szCs w:val="20"/>
                <w:lang w:eastAsia="en-GB"/>
              </w:rPr>
              <w:t xml:space="preserve">        67% writing against 73</w:t>
            </w:r>
            <w:r w:rsidR="00AB46E6" w:rsidRPr="00AB46E6">
              <w:rPr>
                <w:rFonts w:eastAsia="Times New Roman" w:cs="Calibri"/>
                <w:sz w:val="20"/>
                <w:szCs w:val="20"/>
                <w:lang w:eastAsia="en-GB"/>
              </w:rPr>
              <w:t>% Nat Other</w:t>
            </w:r>
            <w:r>
              <w:rPr>
                <w:rFonts w:eastAsia="Times New Roman" w:cs="Calibri"/>
                <w:sz w:val="20"/>
                <w:szCs w:val="20"/>
                <w:lang w:eastAsia="en-GB"/>
              </w:rPr>
              <w:t xml:space="preserve"> – gap 6%</w:t>
            </w:r>
          </w:p>
          <w:p w:rsidR="00AB46E6" w:rsidRPr="00AB46E6" w:rsidRDefault="00B446A3" w:rsidP="00AB46E6">
            <w:pPr>
              <w:widowControl w:val="0"/>
              <w:autoSpaceDE w:val="0"/>
              <w:autoSpaceDN w:val="0"/>
              <w:adjustRightInd w:val="0"/>
              <w:spacing w:after="0" w:line="240" w:lineRule="auto"/>
              <w:rPr>
                <w:rFonts w:eastAsia="Times New Roman" w:cs="Calibri"/>
                <w:sz w:val="20"/>
                <w:szCs w:val="20"/>
                <w:lang w:eastAsia="en-GB"/>
              </w:rPr>
            </w:pPr>
            <w:r>
              <w:rPr>
                <w:rFonts w:eastAsia="Times New Roman" w:cs="Calibri"/>
                <w:sz w:val="20"/>
                <w:szCs w:val="20"/>
                <w:lang w:eastAsia="en-GB"/>
              </w:rPr>
              <w:t xml:space="preserve">         67% Maths against 79</w:t>
            </w:r>
            <w:r w:rsidR="00AB46E6" w:rsidRPr="00AB46E6">
              <w:rPr>
                <w:rFonts w:eastAsia="Times New Roman" w:cs="Calibri"/>
                <w:sz w:val="20"/>
                <w:szCs w:val="20"/>
                <w:lang w:eastAsia="en-GB"/>
              </w:rPr>
              <w:t>% Nat Other</w:t>
            </w:r>
            <w:r>
              <w:rPr>
                <w:rFonts w:eastAsia="Times New Roman" w:cs="Calibri"/>
                <w:sz w:val="20"/>
                <w:szCs w:val="20"/>
                <w:lang w:eastAsia="en-GB"/>
              </w:rPr>
              <w:t>-gap 12%</w:t>
            </w:r>
          </w:p>
          <w:p w:rsidR="00AB46E6" w:rsidRPr="00AB46E6" w:rsidRDefault="00AB46E6" w:rsidP="00AB46E6">
            <w:pPr>
              <w:widowControl w:val="0"/>
              <w:autoSpaceDE w:val="0"/>
              <w:autoSpaceDN w:val="0"/>
              <w:adjustRightInd w:val="0"/>
              <w:spacing w:after="0" w:line="240" w:lineRule="auto"/>
              <w:rPr>
                <w:rFonts w:eastAsia="Times New Roman" w:cs="Calibri"/>
                <w:sz w:val="20"/>
                <w:szCs w:val="20"/>
                <w:lang w:eastAsia="en-GB"/>
              </w:rPr>
            </w:pPr>
          </w:p>
          <w:p w:rsidR="00AB46E6" w:rsidRDefault="00B446A3" w:rsidP="00AB46E6">
            <w:pPr>
              <w:widowControl w:val="0"/>
              <w:autoSpaceDE w:val="0"/>
              <w:autoSpaceDN w:val="0"/>
              <w:adjustRightInd w:val="0"/>
              <w:spacing w:after="0" w:line="240" w:lineRule="auto"/>
              <w:rPr>
                <w:rFonts w:eastAsia="Times New Roman" w:cs="Calibri"/>
                <w:sz w:val="20"/>
                <w:szCs w:val="20"/>
                <w:lang w:eastAsia="en-GB"/>
              </w:rPr>
            </w:pPr>
            <w:r>
              <w:rPr>
                <w:rFonts w:eastAsia="Times New Roman" w:cs="Calibri"/>
                <w:sz w:val="20"/>
                <w:szCs w:val="20"/>
                <w:lang w:eastAsia="en-GB"/>
              </w:rPr>
              <w:t>KS2</w:t>
            </w:r>
            <w:r w:rsidR="00AB46E6" w:rsidRPr="00AB46E6">
              <w:rPr>
                <w:rFonts w:eastAsia="Times New Roman" w:cs="Calibri"/>
                <w:sz w:val="20"/>
                <w:szCs w:val="20"/>
                <w:lang w:eastAsia="en-GB"/>
              </w:rPr>
              <w:t>:</w:t>
            </w:r>
          </w:p>
          <w:p w:rsidR="00B446A3" w:rsidRDefault="00B446A3" w:rsidP="00AB46E6">
            <w:pPr>
              <w:widowControl w:val="0"/>
              <w:autoSpaceDE w:val="0"/>
              <w:autoSpaceDN w:val="0"/>
              <w:adjustRightInd w:val="0"/>
              <w:spacing w:after="0" w:line="240" w:lineRule="auto"/>
              <w:rPr>
                <w:rFonts w:eastAsia="Times New Roman" w:cs="Calibri"/>
                <w:sz w:val="20"/>
                <w:szCs w:val="20"/>
                <w:lang w:eastAsia="en-GB"/>
              </w:rPr>
            </w:pPr>
            <w:r>
              <w:rPr>
                <w:rFonts w:eastAsia="Times New Roman" w:cs="Calibri"/>
                <w:sz w:val="20"/>
                <w:szCs w:val="20"/>
                <w:lang w:eastAsia="en-GB"/>
              </w:rPr>
              <w:t xml:space="preserve"> 60% </w:t>
            </w:r>
            <w:proofErr w:type="spellStart"/>
            <w:r>
              <w:rPr>
                <w:rFonts w:eastAsia="Times New Roman" w:cs="Calibri"/>
                <w:sz w:val="20"/>
                <w:szCs w:val="20"/>
                <w:lang w:eastAsia="en-GB"/>
              </w:rPr>
              <w:t>Disad</w:t>
            </w:r>
            <w:proofErr w:type="spellEnd"/>
            <w:r>
              <w:rPr>
                <w:rFonts w:eastAsia="Times New Roman" w:cs="Calibri"/>
                <w:sz w:val="20"/>
                <w:szCs w:val="20"/>
                <w:lang w:eastAsia="en-GB"/>
              </w:rPr>
              <w:t xml:space="preserve"> reading 77% Nat other – gap 17%</w:t>
            </w:r>
          </w:p>
          <w:p w:rsidR="00B446A3" w:rsidRDefault="00B446A3" w:rsidP="00AB46E6">
            <w:pPr>
              <w:widowControl w:val="0"/>
              <w:autoSpaceDE w:val="0"/>
              <w:autoSpaceDN w:val="0"/>
              <w:adjustRightInd w:val="0"/>
              <w:spacing w:after="0" w:line="240" w:lineRule="auto"/>
              <w:rPr>
                <w:rFonts w:eastAsia="Times New Roman" w:cs="Calibri"/>
                <w:sz w:val="20"/>
                <w:szCs w:val="20"/>
                <w:lang w:eastAsia="en-GB"/>
              </w:rPr>
            </w:pPr>
            <w:r>
              <w:rPr>
                <w:rFonts w:eastAsia="Times New Roman" w:cs="Calibri"/>
                <w:sz w:val="20"/>
                <w:szCs w:val="20"/>
                <w:lang w:eastAsia="en-GB"/>
              </w:rPr>
              <w:t xml:space="preserve">40% </w:t>
            </w:r>
            <w:proofErr w:type="spellStart"/>
            <w:r>
              <w:rPr>
                <w:rFonts w:eastAsia="Times New Roman" w:cs="Calibri"/>
                <w:sz w:val="20"/>
                <w:szCs w:val="20"/>
                <w:lang w:eastAsia="en-GB"/>
              </w:rPr>
              <w:t>Disad</w:t>
            </w:r>
            <w:proofErr w:type="spellEnd"/>
            <w:r>
              <w:rPr>
                <w:rFonts w:eastAsia="Times New Roman" w:cs="Calibri"/>
                <w:sz w:val="20"/>
                <w:szCs w:val="20"/>
                <w:lang w:eastAsia="en-GB"/>
              </w:rPr>
              <w:t xml:space="preserve"> maths 80% Nat other –gap 40%</w:t>
            </w:r>
          </w:p>
          <w:p w:rsidR="00B446A3" w:rsidRDefault="00B446A3" w:rsidP="00AB46E6">
            <w:pPr>
              <w:widowControl w:val="0"/>
              <w:autoSpaceDE w:val="0"/>
              <w:autoSpaceDN w:val="0"/>
              <w:adjustRightInd w:val="0"/>
              <w:spacing w:after="0" w:line="240" w:lineRule="auto"/>
              <w:rPr>
                <w:rFonts w:eastAsia="Times New Roman" w:cs="Calibri"/>
                <w:sz w:val="20"/>
                <w:szCs w:val="20"/>
                <w:lang w:eastAsia="en-GB"/>
              </w:rPr>
            </w:pPr>
            <w:r>
              <w:rPr>
                <w:rFonts w:eastAsia="Times New Roman" w:cs="Calibri"/>
                <w:sz w:val="20"/>
                <w:szCs w:val="20"/>
                <w:lang w:eastAsia="en-GB"/>
              </w:rPr>
              <w:t xml:space="preserve">60% </w:t>
            </w:r>
            <w:proofErr w:type="spellStart"/>
            <w:r>
              <w:rPr>
                <w:rFonts w:eastAsia="Times New Roman" w:cs="Calibri"/>
                <w:sz w:val="20"/>
                <w:szCs w:val="20"/>
                <w:lang w:eastAsia="en-GB"/>
              </w:rPr>
              <w:t>Disad</w:t>
            </w:r>
            <w:proofErr w:type="spellEnd"/>
            <w:r>
              <w:rPr>
                <w:rFonts w:eastAsia="Times New Roman" w:cs="Calibri"/>
                <w:sz w:val="20"/>
                <w:szCs w:val="20"/>
                <w:lang w:eastAsia="en-GB"/>
              </w:rPr>
              <w:t xml:space="preserve"> writing 81% Nat other –gap 21%</w:t>
            </w:r>
          </w:p>
          <w:p w:rsidR="00B446A3" w:rsidRPr="00AB46E6" w:rsidRDefault="00B446A3" w:rsidP="00AB46E6">
            <w:pPr>
              <w:widowControl w:val="0"/>
              <w:autoSpaceDE w:val="0"/>
              <w:autoSpaceDN w:val="0"/>
              <w:adjustRightInd w:val="0"/>
              <w:spacing w:after="0" w:line="240" w:lineRule="auto"/>
              <w:rPr>
                <w:rFonts w:eastAsia="Times New Roman" w:cs="Calibri"/>
                <w:sz w:val="20"/>
                <w:szCs w:val="20"/>
                <w:lang w:eastAsia="en-GB"/>
              </w:rPr>
            </w:pPr>
          </w:p>
          <w:p w:rsidR="00AB46E6" w:rsidRPr="00AB46E6" w:rsidRDefault="00B446A3" w:rsidP="00AB46E6">
            <w:pPr>
              <w:widowControl w:val="0"/>
              <w:autoSpaceDE w:val="0"/>
              <w:autoSpaceDN w:val="0"/>
              <w:adjustRightInd w:val="0"/>
              <w:spacing w:after="0" w:line="240" w:lineRule="auto"/>
              <w:rPr>
                <w:rFonts w:eastAsia="Times New Roman" w:cs="Calibri"/>
                <w:sz w:val="20"/>
                <w:szCs w:val="20"/>
                <w:lang w:eastAsia="en-GB"/>
              </w:rPr>
            </w:pPr>
            <w:r>
              <w:rPr>
                <w:rFonts w:eastAsia="Times New Roman" w:cs="Calibri"/>
                <w:sz w:val="20"/>
                <w:szCs w:val="20"/>
                <w:lang w:eastAsia="en-GB"/>
              </w:rPr>
              <w:t>Maths</w:t>
            </w:r>
            <w:r w:rsidR="00AB46E6" w:rsidRPr="00AB46E6">
              <w:rPr>
                <w:rFonts w:eastAsia="Times New Roman" w:cs="Calibri"/>
                <w:sz w:val="20"/>
                <w:szCs w:val="20"/>
                <w:lang w:eastAsia="en-GB"/>
              </w:rPr>
              <w:t xml:space="preserve"> is a focused area of improvement for next year.</w:t>
            </w:r>
          </w:p>
          <w:p w:rsidR="00AB46E6" w:rsidRPr="00AB46E6" w:rsidRDefault="00AB46E6" w:rsidP="00AB46E6">
            <w:pPr>
              <w:widowControl w:val="0"/>
              <w:autoSpaceDE w:val="0"/>
              <w:autoSpaceDN w:val="0"/>
              <w:adjustRightInd w:val="0"/>
              <w:spacing w:after="0" w:line="240" w:lineRule="auto"/>
              <w:rPr>
                <w:rFonts w:eastAsia="Times New Roman" w:cs="Calibri"/>
                <w:sz w:val="20"/>
                <w:szCs w:val="20"/>
                <w:lang w:eastAsia="en-GB"/>
              </w:rPr>
            </w:pPr>
          </w:p>
          <w:p w:rsidR="00AB46E6" w:rsidRPr="00AB46E6" w:rsidRDefault="00B50943" w:rsidP="00AB46E6">
            <w:pPr>
              <w:widowControl w:val="0"/>
              <w:autoSpaceDE w:val="0"/>
              <w:autoSpaceDN w:val="0"/>
              <w:adjustRightInd w:val="0"/>
              <w:spacing w:after="0" w:line="240" w:lineRule="auto"/>
              <w:rPr>
                <w:rFonts w:eastAsia="Times New Roman" w:cs="Calibri"/>
                <w:sz w:val="20"/>
                <w:szCs w:val="20"/>
                <w:lang w:eastAsia="en-GB"/>
              </w:rPr>
            </w:pPr>
            <w:r>
              <w:rPr>
                <w:rFonts w:eastAsia="Times New Roman" w:cs="Calibri"/>
                <w:sz w:val="20"/>
                <w:szCs w:val="20"/>
                <w:lang w:eastAsia="en-GB"/>
              </w:rPr>
              <w:t>Only 1 child (20</w:t>
            </w:r>
            <w:r w:rsidR="00AB46E6" w:rsidRPr="00AB46E6">
              <w:rPr>
                <w:rFonts w:eastAsia="Times New Roman" w:cs="Calibri"/>
                <w:sz w:val="20"/>
                <w:szCs w:val="20"/>
                <w:lang w:eastAsia="en-GB"/>
              </w:rPr>
              <w:t xml:space="preserve">%) achieved a GDS in KS2 </w:t>
            </w:r>
            <w:r>
              <w:rPr>
                <w:rFonts w:eastAsia="Times New Roman" w:cs="Calibri"/>
                <w:sz w:val="20"/>
                <w:szCs w:val="20"/>
                <w:lang w:eastAsia="en-GB"/>
              </w:rPr>
              <w:t>RWM</w:t>
            </w:r>
            <w:r w:rsidR="00AB46E6" w:rsidRPr="00AB46E6">
              <w:rPr>
                <w:rFonts w:eastAsia="Times New Roman" w:cs="Calibri"/>
                <w:sz w:val="20"/>
                <w:szCs w:val="20"/>
                <w:lang w:eastAsia="en-GB"/>
              </w:rPr>
              <w:t xml:space="preserve"> SATs. No other </w:t>
            </w:r>
            <w:proofErr w:type="spellStart"/>
            <w:r w:rsidR="00AB46E6" w:rsidRPr="00AB46E6">
              <w:rPr>
                <w:rFonts w:eastAsia="Times New Roman" w:cs="Calibri"/>
                <w:sz w:val="20"/>
                <w:szCs w:val="20"/>
                <w:lang w:eastAsia="en-GB"/>
              </w:rPr>
              <w:t>disad</w:t>
            </w:r>
            <w:proofErr w:type="spellEnd"/>
            <w:r w:rsidR="00AB46E6" w:rsidRPr="00AB46E6">
              <w:rPr>
                <w:rFonts w:eastAsia="Times New Roman" w:cs="Calibri"/>
                <w:sz w:val="20"/>
                <w:szCs w:val="20"/>
                <w:lang w:eastAsia="en-GB"/>
              </w:rPr>
              <w:t xml:space="preserve"> pupils ach</w:t>
            </w:r>
            <w:r>
              <w:rPr>
                <w:rFonts w:eastAsia="Times New Roman" w:cs="Calibri"/>
                <w:sz w:val="20"/>
                <w:szCs w:val="20"/>
                <w:lang w:eastAsia="en-GB"/>
              </w:rPr>
              <w:t xml:space="preserve">ieved a GDS in Reading, Writing, Maths </w:t>
            </w:r>
            <w:r w:rsidR="00AB46E6" w:rsidRPr="00AB46E6">
              <w:rPr>
                <w:rFonts w:eastAsia="Times New Roman" w:cs="Calibri"/>
                <w:sz w:val="20"/>
                <w:szCs w:val="20"/>
                <w:lang w:eastAsia="en-GB"/>
              </w:rPr>
              <w:t xml:space="preserve">or </w:t>
            </w:r>
            <w:proofErr w:type="spellStart"/>
            <w:r w:rsidR="00AB46E6" w:rsidRPr="00AB46E6">
              <w:rPr>
                <w:rFonts w:eastAsia="Times New Roman" w:cs="Calibri"/>
                <w:sz w:val="20"/>
                <w:szCs w:val="20"/>
                <w:lang w:eastAsia="en-GB"/>
              </w:rPr>
              <w:t>SPaG</w:t>
            </w:r>
            <w:proofErr w:type="spellEnd"/>
            <w:r w:rsidR="00AB46E6" w:rsidRPr="00AB46E6">
              <w:rPr>
                <w:rFonts w:eastAsia="Times New Roman" w:cs="Calibri"/>
                <w:sz w:val="20"/>
                <w:szCs w:val="20"/>
                <w:lang w:eastAsia="en-GB"/>
              </w:rPr>
              <w:t>. Focus for next year on disadvantaged more able pupils achieving a GDS</w:t>
            </w:r>
          </w:p>
          <w:p w:rsidR="00AB46E6" w:rsidRPr="00AB46E6" w:rsidRDefault="00B50943" w:rsidP="00AB46E6">
            <w:pPr>
              <w:widowControl w:val="0"/>
              <w:autoSpaceDE w:val="0"/>
              <w:autoSpaceDN w:val="0"/>
              <w:adjustRightInd w:val="0"/>
              <w:spacing w:after="0" w:line="240" w:lineRule="auto"/>
              <w:rPr>
                <w:rFonts w:eastAsia="Times New Roman" w:cs="Calibri"/>
                <w:sz w:val="20"/>
                <w:szCs w:val="20"/>
                <w:lang w:eastAsia="en-GB"/>
              </w:rPr>
            </w:pPr>
            <w:r>
              <w:rPr>
                <w:rFonts w:eastAsia="Times New Roman" w:cs="Calibri"/>
                <w:sz w:val="20"/>
                <w:szCs w:val="20"/>
                <w:lang w:eastAsia="en-GB"/>
              </w:rPr>
              <w:t xml:space="preserve">Average </w:t>
            </w:r>
            <w:r w:rsidR="00AB46E6" w:rsidRPr="00AB46E6">
              <w:rPr>
                <w:rFonts w:eastAsia="Times New Roman" w:cs="Calibri"/>
                <w:sz w:val="20"/>
                <w:szCs w:val="20"/>
                <w:lang w:eastAsia="en-GB"/>
              </w:rPr>
              <w:t>Progress of disadvantaged pupils</w:t>
            </w:r>
          </w:p>
          <w:p w:rsidR="00AB46E6" w:rsidRPr="00AB46E6" w:rsidRDefault="00B50943" w:rsidP="00AB46E6">
            <w:pPr>
              <w:widowControl w:val="0"/>
              <w:autoSpaceDE w:val="0"/>
              <w:autoSpaceDN w:val="0"/>
              <w:adjustRightInd w:val="0"/>
              <w:spacing w:after="0" w:line="240" w:lineRule="auto"/>
              <w:rPr>
                <w:rFonts w:eastAsia="Times New Roman" w:cs="Calibri"/>
                <w:sz w:val="20"/>
                <w:szCs w:val="20"/>
                <w:lang w:eastAsia="en-GB"/>
              </w:rPr>
            </w:pPr>
            <w:r>
              <w:rPr>
                <w:rFonts w:eastAsia="Times New Roman" w:cs="Calibri"/>
                <w:sz w:val="20"/>
                <w:szCs w:val="20"/>
                <w:lang w:eastAsia="en-GB"/>
              </w:rPr>
              <w:lastRenderedPageBreak/>
              <w:t>Y1 R 3.8, w 3.5</w:t>
            </w:r>
            <w:r w:rsidR="00AB46E6" w:rsidRPr="00AB46E6">
              <w:rPr>
                <w:rFonts w:eastAsia="Times New Roman" w:cs="Calibri"/>
                <w:sz w:val="20"/>
                <w:szCs w:val="20"/>
                <w:lang w:eastAsia="en-GB"/>
              </w:rPr>
              <w:t>, m 3</w:t>
            </w:r>
            <w:r>
              <w:rPr>
                <w:rFonts w:eastAsia="Times New Roman" w:cs="Calibri"/>
                <w:sz w:val="20"/>
                <w:szCs w:val="20"/>
                <w:lang w:eastAsia="en-GB"/>
              </w:rPr>
              <w:t>.5</w:t>
            </w:r>
          </w:p>
          <w:p w:rsidR="00AB46E6" w:rsidRPr="00AB46E6" w:rsidRDefault="00B50943" w:rsidP="00AB46E6">
            <w:pPr>
              <w:widowControl w:val="0"/>
              <w:autoSpaceDE w:val="0"/>
              <w:autoSpaceDN w:val="0"/>
              <w:adjustRightInd w:val="0"/>
              <w:spacing w:after="0" w:line="240" w:lineRule="auto"/>
              <w:rPr>
                <w:rFonts w:eastAsia="Times New Roman" w:cs="Calibri"/>
                <w:sz w:val="20"/>
                <w:szCs w:val="20"/>
                <w:lang w:eastAsia="en-GB"/>
              </w:rPr>
            </w:pPr>
            <w:r>
              <w:rPr>
                <w:rFonts w:eastAsia="Times New Roman" w:cs="Calibri"/>
                <w:sz w:val="20"/>
                <w:szCs w:val="20"/>
                <w:lang w:eastAsia="en-GB"/>
              </w:rPr>
              <w:t>Y2 R 3.3, w 3.1, m 3.1</w:t>
            </w:r>
          </w:p>
          <w:p w:rsidR="00AB46E6" w:rsidRPr="00AB46E6" w:rsidRDefault="00B50943" w:rsidP="00AB46E6">
            <w:pPr>
              <w:widowControl w:val="0"/>
              <w:autoSpaceDE w:val="0"/>
              <w:autoSpaceDN w:val="0"/>
              <w:adjustRightInd w:val="0"/>
              <w:spacing w:after="0" w:line="240" w:lineRule="auto"/>
              <w:rPr>
                <w:rFonts w:eastAsia="Times New Roman" w:cs="Calibri"/>
                <w:sz w:val="20"/>
                <w:szCs w:val="20"/>
                <w:lang w:eastAsia="en-GB"/>
              </w:rPr>
            </w:pPr>
            <w:r>
              <w:rPr>
                <w:rFonts w:eastAsia="Times New Roman" w:cs="Calibri"/>
                <w:sz w:val="20"/>
                <w:szCs w:val="20"/>
                <w:lang w:eastAsia="en-GB"/>
              </w:rPr>
              <w:t>Y3 R 3.3, w 2.8</w:t>
            </w:r>
            <w:r w:rsidR="00AB46E6" w:rsidRPr="00AB46E6">
              <w:rPr>
                <w:rFonts w:eastAsia="Times New Roman" w:cs="Calibri"/>
                <w:sz w:val="20"/>
                <w:szCs w:val="20"/>
                <w:lang w:eastAsia="en-GB"/>
              </w:rPr>
              <w:t>, m 3</w:t>
            </w:r>
            <w:r>
              <w:rPr>
                <w:rFonts w:eastAsia="Times New Roman" w:cs="Calibri"/>
                <w:sz w:val="20"/>
                <w:szCs w:val="20"/>
                <w:lang w:eastAsia="en-GB"/>
              </w:rPr>
              <w:t>.5</w:t>
            </w:r>
          </w:p>
          <w:p w:rsidR="00AB46E6" w:rsidRPr="00AB46E6" w:rsidRDefault="00B50943" w:rsidP="00AB46E6">
            <w:pPr>
              <w:widowControl w:val="0"/>
              <w:autoSpaceDE w:val="0"/>
              <w:autoSpaceDN w:val="0"/>
              <w:adjustRightInd w:val="0"/>
              <w:spacing w:after="0" w:line="240" w:lineRule="auto"/>
              <w:rPr>
                <w:rFonts w:eastAsia="Times New Roman" w:cs="Calibri"/>
                <w:sz w:val="20"/>
                <w:szCs w:val="20"/>
                <w:lang w:eastAsia="en-GB"/>
              </w:rPr>
            </w:pPr>
            <w:r>
              <w:rPr>
                <w:rFonts w:eastAsia="Times New Roman" w:cs="Calibri"/>
                <w:sz w:val="20"/>
                <w:szCs w:val="20"/>
                <w:lang w:eastAsia="en-GB"/>
              </w:rPr>
              <w:t>Y4 R 2.5, w 2.5, m 3</w:t>
            </w:r>
          </w:p>
          <w:p w:rsidR="00AB46E6" w:rsidRPr="00AB46E6" w:rsidRDefault="00B50943" w:rsidP="00AB46E6">
            <w:pPr>
              <w:widowControl w:val="0"/>
              <w:autoSpaceDE w:val="0"/>
              <w:autoSpaceDN w:val="0"/>
              <w:adjustRightInd w:val="0"/>
              <w:spacing w:after="0" w:line="240" w:lineRule="auto"/>
              <w:rPr>
                <w:rFonts w:eastAsia="Times New Roman" w:cs="Calibri"/>
                <w:sz w:val="20"/>
                <w:szCs w:val="20"/>
                <w:lang w:eastAsia="en-GB"/>
              </w:rPr>
            </w:pPr>
            <w:r>
              <w:rPr>
                <w:rFonts w:eastAsia="Times New Roman" w:cs="Calibri"/>
                <w:sz w:val="20"/>
                <w:szCs w:val="20"/>
                <w:lang w:eastAsia="en-GB"/>
              </w:rPr>
              <w:t>Y5 R 3, w 3, m 3</w:t>
            </w:r>
          </w:p>
          <w:p w:rsidR="00AB46E6" w:rsidRDefault="00B50943" w:rsidP="00AB46E6">
            <w:pPr>
              <w:rPr>
                <w:rFonts w:asciiTheme="majorHAnsi" w:hAnsiTheme="majorHAnsi"/>
              </w:rPr>
            </w:pPr>
            <w:r>
              <w:rPr>
                <w:rFonts w:eastAsia="Times New Roman" w:cs="Calibri"/>
                <w:sz w:val="20"/>
                <w:szCs w:val="20"/>
                <w:lang w:eastAsia="en-GB"/>
              </w:rPr>
              <w:t>Y6 R 4, w 3.2, m 3.8</w:t>
            </w:r>
          </w:p>
          <w:p w:rsidR="00AB46E6" w:rsidRPr="00CE4234" w:rsidRDefault="00AB46E6" w:rsidP="001F759C">
            <w:pPr>
              <w:rPr>
                <w:rFonts w:asciiTheme="majorHAnsi" w:hAnsiTheme="majorHAnsi"/>
              </w:rPr>
            </w:pPr>
          </w:p>
        </w:tc>
        <w:tc>
          <w:tcPr>
            <w:tcW w:w="1530" w:type="dxa"/>
            <w:hideMark/>
          </w:tcPr>
          <w:p w:rsidR="00FB528D" w:rsidRPr="00CE4234" w:rsidRDefault="001F14AE" w:rsidP="001F759C">
            <w:pPr>
              <w:rPr>
                <w:rFonts w:asciiTheme="majorHAnsi" w:hAnsiTheme="majorHAnsi"/>
              </w:rPr>
            </w:pPr>
            <w:r>
              <w:rPr>
                <w:rFonts w:asciiTheme="majorHAnsi" w:hAnsiTheme="majorHAnsi"/>
              </w:rPr>
              <w:lastRenderedPageBreak/>
              <w:t>£41</w:t>
            </w:r>
            <w:r w:rsidR="00FB528D" w:rsidRPr="00CE4234">
              <w:rPr>
                <w:rFonts w:asciiTheme="majorHAnsi" w:hAnsiTheme="majorHAnsi"/>
              </w:rPr>
              <w:t>,000</w:t>
            </w:r>
          </w:p>
        </w:tc>
      </w:tr>
      <w:tr w:rsidR="00CE4234" w:rsidRPr="00FB528D" w:rsidTr="007F113F">
        <w:trPr>
          <w:gridAfter w:val="1"/>
          <w:wAfter w:w="1530" w:type="dxa"/>
        </w:trPr>
        <w:tc>
          <w:tcPr>
            <w:tcW w:w="1384" w:type="dxa"/>
          </w:tcPr>
          <w:p w:rsidR="00CE4234" w:rsidRPr="00FB528D" w:rsidRDefault="00CE4234" w:rsidP="00CE4234">
            <w:pPr>
              <w:spacing w:before="600" w:after="600" w:line="240" w:lineRule="auto"/>
              <w:rPr>
                <w:rFonts w:asciiTheme="majorHAnsi" w:eastAsia="Times New Roman" w:hAnsiTheme="majorHAnsi" w:cs="Calibri"/>
                <w:color w:val="625B5C"/>
                <w:lang w:eastAsia="en-GB"/>
              </w:rPr>
            </w:pPr>
            <w:r w:rsidRPr="00CE4234">
              <w:rPr>
                <w:rFonts w:asciiTheme="majorHAnsi" w:eastAsia="Times New Roman" w:hAnsiTheme="majorHAnsi" w:cs="Calibri"/>
                <w:color w:val="625B5C"/>
                <w:lang w:eastAsia="en-GB"/>
              </w:rPr>
              <w:lastRenderedPageBreak/>
              <w:t xml:space="preserve">All school age range </w:t>
            </w:r>
          </w:p>
        </w:tc>
        <w:tc>
          <w:tcPr>
            <w:tcW w:w="2297" w:type="dxa"/>
          </w:tcPr>
          <w:p w:rsidR="00CE4234" w:rsidRPr="00FB528D" w:rsidRDefault="00CE4234" w:rsidP="00CE4234">
            <w:pPr>
              <w:spacing w:before="600" w:after="600" w:line="240" w:lineRule="auto"/>
              <w:rPr>
                <w:rFonts w:asciiTheme="majorHAnsi" w:eastAsia="Times New Roman" w:hAnsiTheme="majorHAnsi" w:cs="Calibri"/>
                <w:color w:val="625B5C"/>
                <w:lang w:eastAsia="en-GB"/>
              </w:rPr>
            </w:pPr>
            <w:r w:rsidRPr="00CE4234">
              <w:rPr>
                <w:rFonts w:asciiTheme="majorHAnsi" w:eastAsia="Times New Roman" w:hAnsiTheme="majorHAnsi" w:cs="Calibri"/>
                <w:color w:val="625B5C"/>
                <w:lang w:eastAsia="en-GB"/>
              </w:rPr>
              <w:t xml:space="preserve">Counselling </w:t>
            </w:r>
            <w:r w:rsidRPr="00FB528D">
              <w:rPr>
                <w:rFonts w:asciiTheme="majorHAnsi" w:eastAsia="Times New Roman" w:hAnsiTheme="majorHAnsi" w:cs="Calibri"/>
                <w:color w:val="625B5C"/>
                <w:lang w:eastAsia="en-GB"/>
              </w:rPr>
              <w:t>support for children with social and emotional issues</w:t>
            </w:r>
          </w:p>
        </w:tc>
        <w:tc>
          <w:tcPr>
            <w:tcW w:w="2410" w:type="dxa"/>
            <w:hideMark/>
          </w:tcPr>
          <w:p w:rsidR="00CE4234" w:rsidRPr="00FB528D" w:rsidRDefault="00CE4234" w:rsidP="00CE4234">
            <w:pPr>
              <w:spacing w:before="600" w:after="600" w:line="240" w:lineRule="auto"/>
              <w:rPr>
                <w:rFonts w:asciiTheme="majorHAnsi" w:eastAsia="Times New Roman" w:hAnsiTheme="majorHAnsi" w:cs="Calibri"/>
                <w:color w:val="625B5C"/>
                <w:lang w:eastAsia="en-GB"/>
              </w:rPr>
            </w:pPr>
            <w:r w:rsidRPr="00FB528D">
              <w:rPr>
                <w:rFonts w:asciiTheme="majorHAnsi" w:eastAsia="Times New Roman" w:hAnsiTheme="majorHAnsi" w:cs="Calibri"/>
                <w:color w:val="625B5C"/>
                <w:lang w:eastAsia="en-GB"/>
              </w:rPr>
              <w:t xml:space="preserve">Trained counsellor employed for </w:t>
            </w:r>
            <w:r w:rsidRPr="00CE4234">
              <w:rPr>
                <w:rFonts w:asciiTheme="majorHAnsi" w:eastAsia="Times New Roman" w:hAnsiTheme="majorHAnsi" w:cs="Calibri"/>
                <w:color w:val="625B5C"/>
                <w:lang w:eastAsia="en-GB"/>
              </w:rPr>
              <w:t xml:space="preserve">a full </w:t>
            </w:r>
            <w:r w:rsidRPr="00FB528D">
              <w:rPr>
                <w:rFonts w:asciiTheme="majorHAnsi" w:eastAsia="Times New Roman" w:hAnsiTheme="majorHAnsi" w:cs="Calibri"/>
                <w:color w:val="625B5C"/>
                <w:lang w:eastAsia="en-GB"/>
              </w:rPr>
              <w:t>day for children from vulnerable families</w:t>
            </w:r>
          </w:p>
          <w:p w:rsidR="00CE4234" w:rsidRPr="00FB528D" w:rsidRDefault="00CE4234" w:rsidP="00CE4234">
            <w:pPr>
              <w:spacing w:after="150" w:line="240" w:lineRule="auto"/>
              <w:rPr>
                <w:rFonts w:asciiTheme="majorHAnsi" w:eastAsia="Times New Roman" w:hAnsiTheme="majorHAnsi" w:cs="Calibri"/>
                <w:color w:val="494243"/>
                <w:lang w:eastAsia="en-GB"/>
              </w:rPr>
            </w:pPr>
            <w:r w:rsidRPr="00FB528D">
              <w:rPr>
                <w:rFonts w:asciiTheme="majorHAnsi" w:eastAsia="Times New Roman" w:hAnsiTheme="majorHAnsi" w:cs="Calibri"/>
                <w:color w:val="494243"/>
                <w:lang w:eastAsia="en-GB"/>
              </w:rPr>
              <w:t> </w:t>
            </w:r>
          </w:p>
          <w:p w:rsidR="00CE4234" w:rsidRPr="00FB528D" w:rsidRDefault="00CE4234" w:rsidP="00CE4234">
            <w:pPr>
              <w:spacing w:after="150" w:line="240" w:lineRule="auto"/>
              <w:rPr>
                <w:rFonts w:asciiTheme="majorHAnsi" w:eastAsia="Times New Roman" w:hAnsiTheme="majorHAnsi" w:cs="Calibri"/>
                <w:color w:val="494243"/>
                <w:lang w:eastAsia="en-GB"/>
              </w:rPr>
            </w:pPr>
            <w:r w:rsidRPr="00FB528D">
              <w:rPr>
                <w:rFonts w:asciiTheme="majorHAnsi" w:eastAsia="Times New Roman" w:hAnsiTheme="majorHAnsi" w:cs="Calibri"/>
                <w:color w:val="494243"/>
                <w:lang w:eastAsia="en-GB"/>
              </w:rPr>
              <w:t> </w:t>
            </w:r>
          </w:p>
          <w:p w:rsidR="00CE4234" w:rsidRPr="00FB528D" w:rsidRDefault="00CE4234" w:rsidP="00CE4234">
            <w:pPr>
              <w:spacing w:after="150" w:line="240" w:lineRule="auto"/>
              <w:rPr>
                <w:rFonts w:asciiTheme="majorHAnsi" w:eastAsia="Times New Roman" w:hAnsiTheme="majorHAnsi" w:cs="Calibri"/>
                <w:color w:val="494243"/>
                <w:lang w:eastAsia="en-GB"/>
              </w:rPr>
            </w:pPr>
          </w:p>
        </w:tc>
        <w:tc>
          <w:tcPr>
            <w:tcW w:w="7938" w:type="dxa"/>
            <w:hideMark/>
          </w:tcPr>
          <w:p w:rsidR="00CE4234" w:rsidRPr="00CE4234" w:rsidRDefault="00CE4234" w:rsidP="00CE4234">
            <w:pPr>
              <w:spacing w:after="0" w:line="240" w:lineRule="auto"/>
              <w:rPr>
                <w:rFonts w:asciiTheme="majorHAnsi" w:eastAsia="Times New Roman" w:hAnsiTheme="majorHAnsi" w:cs="Calibri"/>
                <w:color w:val="625B5C"/>
                <w:lang w:eastAsia="en-GB"/>
              </w:rPr>
            </w:pPr>
            <w:r w:rsidRPr="00CE4234">
              <w:rPr>
                <w:rFonts w:asciiTheme="majorHAnsi" w:eastAsia="Times New Roman" w:hAnsiTheme="majorHAnsi" w:cs="Calibri"/>
                <w:color w:val="625B5C"/>
                <w:lang w:eastAsia="en-GB"/>
              </w:rPr>
              <w:t>6</w:t>
            </w:r>
            <w:r w:rsidRPr="00FB528D">
              <w:rPr>
                <w:rFonts w:asciiTheme="majorHAnsi" w:eastAsia="Times New Roman" w:hAnsiTheme="majorHAnsi" w:cs="Calibri"/>
                <w:color w:val="625B5C"/>
                <w:lang w:eastAsia="en-GB"/>
              </w:rPr>
              <w:t xml:space="preserve"> children manage their own behaviour better which is impacting on their progress in Reading, Writing and Maths.</w:t>
            </w:r>
          </w:p>
          <w:p w:rsidR="00CE4234" w:rsidRPr="00FB528D" w:rsidRDefault="00CE4234" w:rsidP="00CE4234">
            <w:pPr>
              <w:spacing w:after="0" w:line="240" w:lineRule="auto"/>
              <w:rPr>
                <w:rFonts w:asciiTheme="majorHAnsi" w:eastAsia="Times New Roman" w:hAnsiTheme="majorHAnsi" w:cs="Calibri"/>
                <w:color w:val="625B5C"/>
                <w:lang w:eastAsia="en-GB"/>
              </w:rPr>
            </w:pPr>
          </w:p>
          <w:p w:rsidR="00CE4234" w:rsidRDefault="00CE4234" w:rsidP="00CE4234">
            <w:pPr>
              <w:spacing w:after="150" w:line="240" w:lineRule="auto"/>
              <w:rPr>
                <w:rFonts w:asciiTheme="majorHAnsi" w:eastAsia="Times New Roman" w:hAnsiTheme="majorHAnsi" w:cs="Calibri"/>
                <w:color w:val="494243"/>
                <w:lang w:eastAsia="en-GB"/>
              </w:rPr>
            </w:pPr>
          </w:p>
          <w:p w:rsidR="000E538C" w:rsidRDefault="000E538C" w:rsidP="00CE4234">
            <w:pPr>
              <w:spacing w:after="150" w:line="240" w:lineRule="auto"/>
              <w:rPr>
                <w:rFonts w:asciiTheme="majorHAnsi" w:eastAsia="Times New Roman" w:hAnsiTheme="majorHAnsi" w:cs="Calibri"/>
                <w:color w:val="494243"/>
                <w:lang w:eastAsia="en-GB"/>
              </w:rPr>
            </w:pPr>
            <w:r>
              <w:rPr>
                <w:rFonts w:asciiTheme="majorHAnsi" w:eastAsia="Times New Roman" w:hAnsiTheme="majorHAnsi" w:cs="Calibri"/>
                <w:color w:val="494243"/>
                <w:lang w:eastAsia="en-GB"/>
              </w:rPr>
              <w:t>£7400</w:t>
            </w:r>
            <w:r w:rsidR="00B50943">
              <w:rPr>
                <w:rFonts w:asciiTheme="majorHAnsi" w:eastAsia="Times New Roman" w:hAnsiTheme="majorHAnsi" w:cs="Calibri"/>
                <w:color w:val="494243"/>
                <w:lang w:eastAsia="en-GB"/>
              </w:rPr>
              <w:t xml:space="preserve"> per year</w:t>
            </w:r>
          </w:p>
          <w:p w:rsidR="00B50943" w:rsidRPr="00FB528D" w:rsidRDefault="00B50943" w:rsidP="00CE4234">
            <w:pPr>
              <w:spacing w:after="150" w:line="240" w:lineRule="auto"/>
              <w:rPr>
                <w:rFonts w:asciiTheme="majorHAnsi" w:eastAsia="Times New Roman" w:hAnsiTheme="majorHAnsi" w:cs="Calibri"/>
                <w:color w:val="494243"/>
                <w:lang w:eastAsia="en-GB"/>
              </w:rPr>
            </w:pPr>
            <w:r>
              <w:rPr>
                <w:rFonts w:asciiTheme="majorHAnsi" w:eastAsia="Times New Roman" w:hAnsiTheme="majorHAnsi" w:cs="Calibri"/>
                <w:color w:val="494243"/>
                <w:lang w:eastAsia="en-GB"/>
              </w:rPr>
              <w:t>50% of the 6 children are part of the school council</w:t>
            </w:r>
          </w:p>
        </w:tc>
      </w:tr>
      <w:tr w:rsidR="00CE4234" w:rsidRPr="004B4370" w:rsidTr="007F113F">
        <w:trPr>
          <w:trHeight w:val="983"/>
        </w:trPr>
        <w:tc>
          <w:tcPr>
            <w:tcW w:w="1384" w:type="dxa"/>
            <w:hideMark/>
          </w:tcPr>
          <w:p w:rsidR="00CE4234" w:rsidRPr="00CE4234" w:rsidRDefault="000E538C" w:rsidP="00CE4234">
            <w:pPr>
              <w:spacing w:before="600" w:after="600" w:line="240" w:lineRule="auto"/>
              <w:rPr>
                <w:rFonts w:asciiTheme="majorHAnsi" w:eastAsia="Times New Roman" w:hAnsiTheme="majorHAnsi" w:cs="Calibri"/>
                <w:color w:val="625B5C"/>
                <w:lang w:eastAsia="en-GB"/>
              </w:rPr>
            </w:pPr>
            <w:r>
              <w:rPr>
                <w:rFonts w:asciiTheme="majorHAnsi" w:eastAsia="Times New Roman" w:hAnsiTheme="majorHAnsi" w:cs="Calibri"/>
                <w:color w:val="625B5C"/>
                <w:lang w:eastAsia="en-GB"/>
              </w:rPr>
              <w:t xml:space="preserve">Extra </w:t>
            </w:r>
            <w:r w:rsidR="00CE4234" w:rsidRPr="00CE4234">
              <w:rPr>
                <w:rFonts w:asciiTheme="majorHAnsi" w:eastAsia="Times New Roman" w:hAnsiTheme="majorHAnsi" w:cs="Calibri"/>
                <w:color w:val="625B5C"/>
                <w:lang w:eastAsia="en-GB"/>
              </w:rPr>
              <w:t>Teacher for KS2</w:t>
            </w:r>
          </w:p>
          <w:p w:rsidR="00CE4234" w:rsidRPr="004B4370" w:rsidRDefault="00B50943" w:rsidP="00CE4234">
            <w:pPr>
              <w:spacing w:before="600" w:after="600" w:line="240" w:lineRule="auto"/>
              <w:rPr>
                <w:rFonts w:asciiTheme="majorHAnsi" w:eastAsia="Times New Roman" w:hAnsiTheme="majorHAnsi" w:cs="Calibri"/>
                <w:color w:val="625B5C"/>
                <w:lang w:eastAsia="en-GB"/>
              </w:rPr>
            </w:pPr>
            <w:r>
              <w:rPr>
                <w:rFonts w:asciiTheme="majorHAnsi" w:eastAsia="Times New Roman" w:hAnsiTheme="majorHAnsi" w:cs="Calibri"/>
                <w:color w:val="625B5C"/>
                <w:lang w:eastAsia="en-GB"/>
              </w:rPr>
              <w:t>MW-UPS2</w:t>
            </w:r>
            <w:r w:rsidR="00CE4234" w:rsidRPr="00CE4234">
              <w:rPr>
                <w:rFonts w:asciiTheme="majorHAnsi" w:eastAsia="Times New Roman" w:hAnsiTheme="majorHAnsi" w:cs="Calibri"/>
                <w:color w:val="625B5C"/>
                <w:lang w:eastAsia="en-GB"/>
              </w:rPr>
              <w:t>)</w:t>
            </w:r>
          </w:p>
        </w:tc>
        <w:tc>
          <w:tcPr>
            <w:tcW w:w="2297" w:type="dxa"/>
            <w:hideMark/>
          </w:tcPr>
          <w:p w:rsidR="00CE4234" w:rsidRPr="004B4370" w:rsidRDefault="00CE4234" w:rsidP="00CE4234">
            <w:pPr>
              <w:spacing w:before="600" w:after="600" w:line="240" w:lineRule="auto"/>
              <w:rPr>
                <w:rFonts w:asciiTheme="majorHAnsi" w:eastAsia="Times New Roman" w:hAnsiTheme="majorHAnsi" w:cs="Calibri"/>
                <w:color w:val="625B5C"/>
                <w:lang w:eastAsia="en-GB"/>
              </w:rPr>
            </w:pPr>
            <w:r w:rsidRPr="00CE4234">
              <w:rPr>
                <w:rFonts w:asciiTheme="majorHAnsi" w:eastAsia="Times New Roman" w:hAnsiTheme="majorHAnsi" w:cs="Calibri"/>
                <w:color w:val="625B5C"/>
                <w:lang w:eastAsia="en-GB"/>
              </w:rPr>
              <w:t xml:space="preserve">Experienced UPS2 </w:t>
            </w:r>
            <w:r w:rsidRPr="004B4370">
              <w:rPr>
                <w:rFonts w:asciiTheme="majorHAnsi" w:eastAsia="Times New Roman" w:hAnsiTheme="majorHAnsi" w:cs="Calibri"/>
                <w:color w:val="625B5C"/>
                <w:lang w:eastAsia="en-GB"/>
              </w:rPr>
              <w:t>Teacher with SEND experience teaching a discrete class of mo</w:t>
            </w:r>
            <w:r w:rsidRPr="00CE4234">
              <w:rPr>
                <w:rFonts w:asciiTheme="majorHAnsi" w:eastAsia="Times New Roman" w:hAnsiTheme="majorHAnsi" w:cs="Calibri"/>
                <w:color w:val="625B5C"/>
                <w:lang w:eastAsia="en-GB"/>
              </w:rPr>
              <w:t>stly Pupil Premium children (80%)</w:t>
            </w:r>
          </w:p>
        </w:tc>
        <w:tc>
          <w:tcPr>
            <w:tcW w:w="2410" w:type="dxa"/>
            <w:hideMark/>
          </w:tcPr>
          <w:p w:rsidR="00CE4234" w:rsidRPr="004B4370" w:rsidRDefault="000E538C" w:rsidP="00CE4234">
            <w:pPr>
              <w:spacing w:before="600" w:after="600" w:line="240" w:lineRule="auto"/>
              <w:rPr>
                <w:rFonts w:asciiTheme="majorHAnsi" w:eastAsia="Times New Roman" w:hAnsiTheme="majorHAnsi" w:cs="Calibri"/>
                <w:color w:val="625B5C"/>
                <w:lang w:eastAsia="en-GB"/>
              </w:rPr>
            </w:pPr>
            <w:r w:rsidRPr="000E538C">
              <w:rPr>
                <w:rFonts w:asciiTheme="majorHAnsi" w:eastAsia="Times New Roman" w:hAnsiTheme="majorHAnsi" w:cs="Calibri"/>
                <w:color w:val="625B5C"/>
                <w:lang w:eastAsia="en-GB"/>
              </w:rPr>
              <w:t xml:space="preserve">Precision teaching plans are in place to ensure disadvantaged/SEN pupils continue to accelerate </w:t>
            </w:r>
            <w:r w:rsidR="001F14AE">
              <w:rPr>
                <w:rFonts w:asciiTheme="majorHAnsi" w:eastAsia="Times New Roman" w:hAnsiTheme="majorHAnsi" w:cs="Calibri"/>
                <w:color w:val="625B5C"/>
                <w:lang w:eastAsia="en-GB"/>
              </w:rPr>
              <w:t>the</w:t>
            </w:r>
            <w:r w:rsidR="00B50943">
              <w:rPr>
                <w:rFonts w:asciiTheme="majorHAnsi" w:eastAsia="Times New Roman" w:hAnsiTheme="majorHAnsi" w:cs="Calibri"/>
                <w:color w:val="625B5C"/>
                <w:lang w:eastAsia="en-GB"/>
              </w:rPr>
              <w:t>ir progress In Sept 2018 (JC</w:t>
            </w:r>
            <w:r w:rsidR="001F14AE">
              <w:rPr>
                <w:rFonts w:asciiTheme="majorHAnsi" w:eastAsia="Times New Roman" w:hAnsiTheme="majorHAnsi" w:cs="Calibri"/>
                <w:color w:val="625B5C"/>
                <w:lang w:eastAsia="en-GB"/>
              </w:rPr>
              <w:t>)</w:t>
            </w:r>
          </w:p>
        </w:tc>
        <w:tc>
          <w:tcPr>
            <w:tcW w:w="7938" w:type="dxa"/>
            <w:hideMark/>
          </w:tcPr>
          <w:p w:rsidR="00CE4234" w:rsidRDefault="00CE4234" w:rsidP="00CE4234">
            <w:pPr>
              <w:spacing w:before="600" w:after="600" w:line="240" w:lineRule="auto"/>
              <w:rPr>
                <w:rFonts w:asciiTheme="majorHAnsi" w:eastAsia="Times New Roman" w:hAnsiTheme="majorHAnsi" w:cs="Calibri"/>
                <w:color w:val="625B5C"/>
                <w:lang w:eastAsia="en-GB"/>
              </w:rPr>
            </w:pPr>
            <w:r w:rsidRPr="004B4370">
              <w:rPr>
                <w:rFonts w:asciiTheme="majorHAnsi" w:eastAsia="Times New Roman" w:hAnsiTheme="majorHAnsi" w:cs="Calibri"/>
                <w:color w:val="625B5C"/>
                <w:lang w:eastAsia="en-GB"/>
              </w:rPr>
              <w:t xml:space="preserve">All </w:t>
            </w:r>
            <w:r w:rsidR="007F113F">
              <w:rPr>
                <w:rFonts w:asciiTheme="majorHAnsi" w:eastAsia="Times New Roman" w:hAnsiTheme="majorHAnsi" w:cs="Calibri"/>
                <w:color w:val="625B5C"/>
                <w:lang w:eastAsia="en-GB"/>
              </w:rPr>
              <w:t xml:space="preserve">disadvantaged </w:t>
            </w:r>
            <w:r w:rsidRPr="004B4370">
              <w:rPr>
                <w:rFonts w:asciiTheme="majorHAnsi" w:eastAsia="Times New Roman" w:hAnsiTheme="majorHAnsi" w:cs="Calibri"/>
                <w:color w:val="625B5C"/>
                <w:lang w:eastAsia="en-GB"/>
              </w:rPr>
              <w:t xml:space="preserve">children </w:t>
            </w:r>
            <w:r w:rsidR="007F113F">
              <w:rPr>
                <w:rFonts w:asciiTheme="majorHAnsi" w:eastAsia="Times New Roman" w:hAnsiTheme="majorHAnsi" w:cs="Calibri"/>
                <w:color w:val="625B5C"/>
                <w:lang w:eastAsia="en-GB"/>
              </w:rPr>
              <w:t xml:space="preserve">in KS2 </w:t>
            </w:r>
            <w:r w:rsidRPr="00CE4234">
              <w:rPr>
                <w:rFonts w:asciiTheme="majorHAnsi" w:eastAsia="Times New Roman" w:hAnsiTheme="majorHAnsi" w:cs="Calibri"/>
                <w:color w:val="625B5C"/>
                <w:lang w:eastAsia="en-GB"/>
              </w:rPr>
              <w:t xml:space="preserve">made </w:t>
            </w:r>
            <w:r w:rsidR="007F113F">
              <w:rPr>
                <w:rFonts w:asciiTheme="majorHAnsi" w:eastAsia="Times New Roman" w:hAnsiTheme="majorHAnsi" w:cs="Calibri"/>
                <w:color w:val="625B5C"/>
                <w:lang w:eastAsia="en-GB"/>
              </w:rPr>
              <w:t xml:space="preserve">at least </w:t>
            </w:r>
            <w:r w:rsidRPr="00CE4234">
              <w:rPr>
                <w:rFonts w:asciiTheme="majorHAnsi" w:eastAsia="Times New Roman" w:hAnsiTheme="majorHAnsi" w:cs="Calibri"/>
                <w:color w:val="625B5C"/>
                <w:lang w:eastAsia="en-GB"/>
              </w:rPr>
              <w:t>good progress in the term with the UPS2 teacher in a small class size of 10.</w:t>
            </w:r>
          </w:p>
          <w:p w:rsidR="007F113F" w:rsidRPr="00AB46E6" w:rsidRDefault="007F113F" w:rsidP="007F113F">
            <w:pPr>
              <w:widowControl w:val="0"/>
              <w:autoSpaceDE w:val="0"/>
              <w:autoSpaceDN w:val="0"/>
              <w:adjustRightInd w:val="0"/>
              <w:spacing w:after="0" w:line="240" w:lineRule="auto"/>
              <w:rPr>
                <w:rFonts w:eastAsia="Times New Roman" w:cs="Calibri"/>
                <w:sz w:val="20"/>
                <w:szCs w:val="20"/>
                <w:lang w:eastAsia="en-GB"/>
              </w:rPr>
            </w:pPr>
            <w:r>
              <w:rPr>
                <w:rFonts w:eastAsia="Times New Roman" w:cs="Calibri"/>
                <w:sz w:val="20"/>
                <w:szCs w:val="20"/>
                <w:lang w:eastAsia="en-GB"/>
              </w:rPr>
              <w:t>Y1 R 3.8, w 3.5</w:t>
            </w:r>
            <w:r w:rsidRPr="00AB46E6">
              <w:rPr>
                <w:rFonts w:eastAsia="Times New Roman" w:cs="Calibri"/>
                <w:sz w:val="20"/>
                <w:szCs w:val="20"/>
                <w:lang w:eastAsia="en-GB"/>
              </w:rPr>
              <w:t>, m 3</w:t>
            </w:r>
            <w:r>
              <w:rPr>
                <w:rFonts w:eastAsia="Times New Roman" w:cs="Calibri"/>
                <w:sz w:val="20"/>
                <w:szCs w:val="20"/>
                <w:lang w:eastAsia="en-GB"/>
              </w:rPr>
              <w:t>.5</w:t>
            </w:r>
          </w:p>
          <w:p w:rsidR="007F113F" w:rsidRPr="00AB46E6" w:rsidRDefault="007F113F" w:rsidP="007F113F">
            <w:pPr>
              <w:widowControl w:val="0"/>
              <w:autoSpaceDE w:val="0"/>
              <w:autoSpaceDN w:val="0"/>
              <w:adjustRightInd w:val="0"/>
              <w:spacing w:after="0" w:line="240" w:lineRule="auto"/>
              <w:rPr>
                <w:rFonts w:eastAsia="Times New Roman" w:cs="Calibri"/>
                <w:sz w:val="20"/>
                <w:szCs w:val="20"/>
                <w:lang w:eastAsia="en-GB"/>
              </w:rPr>
            </w:pPr>
            <w:r>
              <w:rPr>
                <w:rFonts w:eastAsia="Times New Roman" w:cs="Calibri"/>
                <w:sz w:val="20"/>
                <w:szCs w:val="20"/>
                <w:lang w:eastAsia="en-GB"/>
              </w:rPr>
              <w:t>Y2 R 3.3, w 3.1, m 3.1</w:t>
            </w:r>
          </w:p>
          <w:p w:rsidR="007F113F" w:rsidRPr="00AB46E6" w:rsidRDefault="007F113F" w:rsidP="007F113F">
            <w:pPr>
              <w:widowControl w:val="0"/>
              <w:autoSpaceDE w:val="0"/>
              <w:autoSpaceDN w:val="0"/>
              <w:adjustRightInd w:val="0"/>
              <w:spacing w:after="0" w:line="240" w:lineRule="auto"/>
              <w:rPr>
                <w:rFonts w:eastAsia="Times New Roman" w:cs="Calibri"/>
                <w:sz w:val="20"/>
                <w:szCs w:val="20"/>
                <w:lang w:eastAsia="en-GB"/>
              </w:rPr>
            </w:pPr>
            <w:r>
              <w:rPr>
                <w:rFonts w:eastAsia="Times New Roman" w:cs="Calibri"/>
                <w:sz w:val="20"/>
                <w:szCs w:val="20"/>
                <w:lang w:eastAsia="en-GB"/>
              </w:rPr>
              <w:t>Y3 R 3.3, w 2.8</w:t>
            </w:r>
            <w:r w:rsidRPr="00AB46E6">
              <w:rPr>
                <w:rFonts w:eastAsia="Times New Roman" w:cs="Calibri"/>
                <w:sz w:val="20"/>
                <w:szCs w:val="20"/>
                <w:lang w:eastAsia="en-GB"/>
              </w:rPr>
              <w:t>, m 3</w:t>
            </w:r>
            <w:r>
              <w:rPr>
                <w:rFonts w:eastAsia="Times New Roman" w:cs="Calibri"/>
                <w:sz w:val="20"/>
                <w:szCs w:val="20"/>
                <w:lang w:eastAsia="en-GB"/>
              </w:rPr>
              <w:t>.5</w:t>
            </w:r>
          </w:p>
          <w:p w:rsidR="007F113F" w:rsidRPr="00AB46E6" w:rsidRDefault="007F113F" w:rsidP="007F113F">
            <w:pPr>
              <w:widowControl w:val="0"/>
              <w:autoSpaceDE w:val="0"/>
              <w:autoSpaceDN w:val="0"/>
              <w:adjustRightInd w:val="0"/>
              <w:spacing w:after="0" w:line="240" w:lineRule="auto"/>
              <w:rPr>
                <w:rFonts w:eastAsia="Times New Roman" w:cs="Calibri"/>
                <w:sz w:val="20"/>
                <w:szCs w:val="20"/>
                <w:lang w:eastAsia="en-GB"/>
              </w:rPr>
            </w:pPr>
            <w:r>
              <w:rPr>
                <w:rFonts w:eastAsia="Times New Roman" w:cs="Calibri"/>
                <w:sz w:val="20"/>
                <w:szCs w:val="20"/>
                <w:lang w:eastAsia="en-GB"/>
              </w:rPr>
              <w:t>Y4 R 2.5, w 2.5, m 3</w:t>
            </w:r>
          </w:p>
          <w:p w:rsidR="007F113F" w:rsidRPr="00AB46E6" w:rsidRDefault="007F113F" w:rsidP="007F113F">
            <w:pPr>
              <w:widowControl w:val="0"/>
              <w:autoSpaceDE w:val="0"/>
              <w:autoSpaceDN w:val="0"/>
              <w:adjustRightInd w:val="0"/>
              <w:spacing w:after="0" w:line="240" w:lineRule="auto"/>
              <w:rPr>
                <w:rFonts w:eastAsia="Times New Roman" w:cs="Calibri"/>
                <w:sz w:val="20"/>
                <w:szCs w:val="20"/>
                <w:lang w:eastAsia="en-GB"/>
              </w:rPr>
            </w:pPr>
            <w:r>
              <w:rPr>
                <w:rFonts w:eastAsia="Times New Roman" w:cs="Calibri"/>
                <w:sz w:val="20"/>
                <w:szCs w:val="20"/>
                <w:lang w:eastAsia="en-GB"/>
              </w:rPr>
              <w:t>Y5 R 3, w 3, m 3</w:t>
            </w:r>
          </w:p>
          <w:p w:rsidR="00CE4234" w:rsidRPr="004B4370" w:rsidRDefault="007F113F" w:rsidP="007F113F">
            <w:pPr>
              <w:spacing w:before="600" w:after="600" w:line="240" w:lineRule="auto"/>
              <w:rPr>
                <w:rFonts w:asciiTheme="majorHAnsi" w:eastAsia="Times New Roman" w:hAnsiTheme="majorHAnsi" w:cs="Calibri"/>
                <w:color w:val="494243"/>
                <w:lang w:eastAsia="en-GB"/>
              </w:rPr>
            </w:pPr>
            <w:r>
              <w:rPr>
                <w:rFonts w:eastAsia="Times New Roman" w:cs="Calibri"/>
                <w:sz w:val="20"/>
                <w:szCs w:val="20"/>
                <w:lang w:eastAsia="en-GB"/>
              </w:rPr>
              <w:lastRenderedPageBreak/>
              <w:t>Y6 R 4, w 3.2, m 3.8</w:t>
            </w:r>
          </w:p>
        </w:tc>
        <w:tc>
          <w:tcPr>
            <w:tcW w:w="1530" w:type="dxa"/>
            <w:hideMark/>
          </w:tcPr>
          <w:p w:rsidR="00CE4234" w:rsidRPr="004B4370" w:rsidRDefault="000E538C" w:rsidP="00CE4234">
            <w:pPr>
              <w:spacing w:after="0" w:line="240" w:lineRule="auto"/>
              <w:rPr>
                <w:rFonts w:asciiTheme="majorHAnsi" w:eastAsia="Times New Roman" w:hAnsiTheme="majorHAnsi" w:cs="Calibri"/>
                <w:color w:val="625B5C"/>
                <w:lang w:eastAsia="en-GB"/>
              </w:rPr>
            </w:pPr>
            <w:r w:rsidRPr="000E538C">
              <w:rPr>
                <w:rFonts w:asciiTheme="majorHAnsi" w:eastAsia="Times New Roman" w:hAnsiTheme="majorHAnsi" w:cs="Calibri"/>
                <w:color w:val="625B5C"/>
                <w:lang w:eastAsia="en-GB"/>
              </w:rPr>
              <w:lastRenderedPageBreak/>
              <w:t>£11,853</w:t>
            </w:r>
          </w:p>
        </w:tc>
      </w:tr>
      <w:tr w:rsidR="00CE4234" w:rsidRPr="003B27FC" w:rsidTr="007F113F">
        <w:trPr>
          <w:trHeight w:val="2258"/>
        </w:trPr>
        <w:tc>
          <w:tcPr>
            <w:tcW w:w="1384" w:type="dxa"/>
          </w:tcPr>
          <w:p w:rsidR="00CE4234" w:rsidRPr="003B27FC" w:rsidRDefault="000E538C" w:rsidP="00CE4234">
            <w:pPr>
              <w:spacing w:before="600" w:after="600" w:line="240" w:lineRule="auto"/>
              <w:rPr>
                <w:rFonts w:asciiTheme="majorHAnsi" w:eastAsia="Times New Roman" w:hAnsiTheme="majorHAnsi" w:cs="Calibri"/>
                <w:color w:val="625B5C"/>
                <w:lang w:eastAsia="en-GB"/>
              </w:rPr>
            </w:pPr>
            <w:r>
              <w:rPr>
                <w:rFonts w:asciiTheme="majorHAnsi" w:eastAsia="Times New Roman" w:hAnsiTheme="majorHAnsi" w:cs="Calibri"/>
                <w:color w:val="625B5C"/>
                <w:lang w:eastAsia="en-GB"/>
              </w:rPr>
              <w:lastRenderedPageBreak/>
              <w:t>All staff</w:t>
            </w:r>
          </w:p>
        </w:tc>
        <w:tc>
          <w:tcPr>
            <w:tcW w:w="2297" w:type="dxa"/>
          </w:tcPr>
          <w:p w:rsidR="00CE4234" w:rsidRPr="003B27FC" w:rsidRDefault="00CE4234" w:rsidP="00CE4234">
            <w:pPr>
              <w:spacing w:before="600" w:after="600" w:line="240" w:lineRule="auto"/>
              <w:rPr>
                <w:rFonts w:asciiTheme="majorHAnsi" w:eastAsia="Times New Roman" w:hAnsiTheme="majorHAnsi" w:cs="Calibri"/>
                <w:color w:val="625B5C"/>
                <w:lang w:eastAsia="en-GB"/>
              </w:rPr>
            </w:pPr>
            <w:r w:rsidRPr="003B27FC">
              <w:rPr>
                <w:rFonts w:asciiTheme="majorHAnsi" w:eastAsia="Times New Roman" w:hAnsiTheme="majorHAnsi" w:cs="Calibri"/>
                <w:color w:val="625B5C"/>
                <w:lang w:eastAsia="en-GB"/>
              </w:rPr>
              <w:t>Training for Reciprocal reading</w:t>
            </w:r>
          </w:p>
        </w:tc>
        <w:tc>
          <w:tcPr>
            <w:tcW w:w="2410" w:type="dxa"/>
            <w:hideMark/>
          </w:tcPr>
          <w:p w:rsidR="00CE4234" w:rsidRPr="003B27FC" w:rsidRDefault="00CE4234" w:rsidP="00CE4234">
            <w:pPr>
              <w:spacing w:before="600" w:after="600" w:line="240" w:lineRule="auto"/>
              <w:rPr>
                <w:rFonts w:asciiTheme="majorHAnsi" w:eastAsia="Times New Roman" w:hAnsiTheme="majorHAnsi" w:cs="Calibri"/>
                <w:color w:val="625B5C"/>
                <w:lang w:eastAsia="en-GB"/>
              </w:rPr>
            </w:pPr>
            <w:r w:rsidRPr="003B27FC">
              <w:rPr>
                <w:rFonts w:asciiTheme="majorHAnsi" w:eastAsia="Times New Roman" w:hAnsiTheme="majorHAnsi" w:cs="Calibri"/>
                <w:color w:val="625B5C"/>
                <w:lang w:eastAsia="en-GB"/>
              </w:rPr>
              <w:t>Training day – To improve the quality of teaching of reading. All teachers and support staff attended</w:t>
            </w:r>
          </w:p>
        </w:tc>
        <w:tc>
          <w:tcPr>
            <w:tcW w:w="7938" w:type="dxa"/>
            <w:hideMark/>
          </w:tcPr>
          <w:p w:rsidR="00CE4234" w:rsidRPr="00CE4234" w:rsidRDefault="00CE4234" w:rsidP="00CE4234">
            <w:pPr>
              <w:spacing w:after="0" w:line="240" w:lineRule="auto"/>
              <w:rPr>
                <w:rFonts w:asciiTheme="majorHAnsi" w:eastAsia="Times New Roman" w:hAnsiTheme="majorHAnsi" w:cs="Calibri"/>
                <w:color w:val="625B5C"/>
                <w:lang w:eastAsia="en-GB"/>
              </w:rPr>
            </w:pPr>
            <w:r w:rsidRPr="003B27FC">
              <w:rPr>
                <w:rFonts w:asciiTheme="majorHAnsi" w:eastAsia="Times New Roman" w:hAnsiTheme="majorHAnsi" w:cs="Calibri"/>
                <w:color w:val="625B5C"/>
                <w:lang w:eastAsia="en-GB"/>
              </w:rPr>
              <w:t>For</w:t>
            </w:r>
            <w:r w:rsidR="00C20196">
              <w:rPr>
                <w:rFonts w:asciiTheme="majorHAnsi" w:eastAsia="Times New Roman" w:hAnsiTheme="majorHAnsi" w:cs="Calibri"/>
                <w:color w:val="625B5C"/>
                <w:lang w:eastAsia="en-GB"/>
              </w:rPr>
              <w:t xml:space="preserve"> reading, </w:t>
            </w:r>
            <w:r w:rsidRPr="003B27FC">
              <w:rPr>
                <w:rFonts w:asciiTheme="majorHAnsi" w:eastAsia="Times New Roman" w:hAnsiTheme="majorHAnsi" w:cs="Calibri"/>
                <w:color w:val="625B5C"/>
                <w:lang w:eastAsia="en-GB"/>
              </w:rPr>
              <w:t xml:space="preserve">end of phase data shows all year groups are </w:t>
            </w:r>
            <w:r w:rsidRPr="00CE4234">
              <w:rPr>
                <w:rFonts w:asciiTheme="majorHAnsi" w:eastAsia="Times New Roman" w:hAnsiTheme="majorHAnsi" w:cs="Calibri"/>
                <w:color w:val="625B5C"/>
                <w:lang w:eastAsia="en-GB"/>
              </w:rPr>
              <w:t xml:space="preserve">broadly in line with </w:t>
            </w:r>
            <w:r w:rsidR="00C20196">
              <w:rPr>
                <w:rFonts w:asciiTheme="majorHAnsi" w:eastAsia="Times New Roman" w:hAnsiTheme="majorHAnsi" w:cs="Calibri"/>
                <w:color w:val="625B5C"/>
                <w:lang w:eastAsia="en-GB"/>
              </w:rPr>
              <w:t xml:space="preserve">national </w:t>
            </w:r>
            <w:r w:rsidRPr="00CE4234">
              <w:rPr>
                <w:rFonts w:asciiTheme="majorHAnsi" w:eastAsia="Times New Roman" w:hAnsiTheme="majorHAnsi" w:cs="Calibri"/>
                <w:color w:val="625B5C"/>
                <w:lang w:eastAsia="en-GB"/>
              </w:rPr>
              <w:t>expected standards.</w:t>
            </w:r>
          </w:p>
          <w:p w:rsidR="00CE4234" w:rsidRPr="00CE4234" w:rsidRDefault="00CE4234" w:rsidP="00CE4234">
            <w:pPr>
              <w:spacing w:after="0" w:line="240" w:lineRule="auto"/>
              <w:rPr>
                <w:rFonts w:asciiTheme="majorHAnsi" w:eastAsia="Times New Roman" w:hAnsiTheme="majorHAnsi" w:cs="Calibri"/>
                <w:color w:val="625B5C"/>
                <w:lang w:eastAsia="en-GB"/>
              </w:rPr>
            </w:pPr>
          </w:p>
          <w:p w:rsidR="00CE4234" w:rsidRDefault="007F113F" w:rsidP="00CE4234">
            <w:pPr>
              <w:spacing w:after="0" w:line="240" w:lineRule="auto"/>
              <w:rPr>
                <w:rFonts w:asciiTheme="majorHAnsi" w:eastAsia="Times New Roman" w:hAnsiTheme="majorHAnsi" w:cs="Calibri"/>
                <w:color w:val="625B5C"/>
                <w:lang w:eastAsia="en-GB"/>
              </w:rPr>
            </w:pPr>
            <w:r>
              <w:rPr>
                <w:rFonts w:asciiTheme="majorHAnsi" w:eastAsia="Times New Roman" w:hAnsiTheme="majorHAnsi" w:cs="Calibri"/>
                <w:color w:val="625B5C"/>
                <w:lang w:eastAsia="en-GB"/>
              </w:rPr>
              <w:t>Y6 Greater depth in reading has</w:t>
            </w:r>
            <w:r w:rsidR="00CE4234" w:rsidRPr="00CE4234">
              <w:rPr>
                <w:rFonts w:asciiTheme="majorHAnsi" w:eastAsia="Times New Roman" w:hAnsiTheme="majorHAnsi" w:cs="Calibri"/>
                <w:color w:val="625B5C"/>
                <w:lang w:eastAsia="en-GB"/>
              </w:rPr>
              <w:t xml:space="preserve"> increased from 2017 at 8.3% to 2018 at 37.5%.</w:t>
            </w:r>
          </w:p>
          <w:p w:rsidR="007F113F" w:rsidRPr="00CE4234" w:rsidRDefault="007F113F" w:rsidP="00CE4234">
            <w:pPr>
              <w:spacing w:after="0" w:line="240" w:lineRule="auto"/>
              <w:rPr>
                <w:rFonts w:asciiTheme="majorHAnsi" w:eastAsia="Times New Roman" w:hAnsiTheme="majorHAnsi" w:cs="Calibri"/>
                <w:color w:val="494243"/>
                <w:lang w:eastAsia="en-GB"/>
              </w:rPr>
            </w:pPr>
          </w:p>
          <w:p w:rsidR="00CE4234" w:rsidRPr="00CE4234" w:rsidRDefault="00CE4234" w:rsidP="00CE4234">
            <w:pPr>
              <w:spacing w:after="150" w:line="240" w:lineRule="auto"/>
              <w:rPr>
                <w:rFonts w:asciiTheme="majorHAnsi" w:eastAsia="Times New Roman" w:hAnsiTheme="majorHAnsi" w:cs="Calibri"/>
                <w:color w:val="494243"/>
                <w:lang w:eastAsia="en-GB"/>
              </w:rPr>
            </w:pPr>
          </w:p>
          <w:p w:rsidR="00CE4234" w:rsidRPr="003B27FC" w:rsidRDefault="00CE4234" w:rsidP="00CE4234">
            <w:pPr>
              <w:spacing w:after="150" w:line="240" w:lineRule="auto"/>
              <w:rPr>
                <w:rFonts w:asciiTheme="majorHAnsi" w:eastAsia="Times New Roman" w:hAnsiTheme="majorHAnsi" w:cs="Calibri"/>
                <w:color w:val="494243"/>
                <w:lang w:eastAsia="en-GB"/>
              </w:rPr>
            </w:pPr>
          </w:p>
        </w:tc>
        <w:tc>
          <w:tcPr>
            <w:tcW w:w="1530" w:type="dxa"/>
          </w:tcPr>
          <w:p w:rsidR="00CE4234" w:rsidRPr="003B27FC" w:rsidRDefault="001F14AE" w:rsidP="00CE4234">
            <w:pPr>
              <w:spacing w:after="0" w:line="240" w:lineRule="auto"/>
              <w:rPr>
                <w:rFonts w:asciiTheme="majorHAnsi" w:eastAsia="Times New Roman" w:hAnsiTheme="majorHAnsi" w:cs="Calibri"/>
                <w:color w:val="625B5C"/>
                <w:lang w:eastAsia="en-GB"/>
              </w:rPr>
            </w:pPr>
            <w:r>
              <w:rPr>
                <w:rFonts w:asciiTheme="majorHAnsi" w:eastAsia="Times New Roman" w:hAnsiTheme="majorHAnsi" w:cs="Calibri"/>
                <w:color w:val="625B5C"/>
                <w:lang w:eastAsia="en-GB"/>
              </w:rPr>
              <w:t>£1000</w:t>
            </w:r>
          </w:p>
        </w:tc>
      </w:tr>
      <w:tr w:rsidR="00CE4234" w:rsidRPr="001F759C" w:rsidTr="007F113F">
        <w:tc>
          <w:tcPr>
            <w:tcW w:w="1384" w:type="dxa"/>
            <w:hideMark/>
          </w:tcPr>
          <w:p w:rsidR="00CE4234" w:rsidRPr="00CE4234" w:rsidRDefault="00CE4234" w:rsidP="00CE4234">
            <w:pPr>
              <w:spacing w:before="600" w:after="600" w:line="240" w:lineRule="auto"/>
              <w:rPr>
                <w:rFonts w:asciiTheme="majorHAnsi" w:eastAsia="Times New Roman" w:hAnsiTheme="majorHAnsi" w:cs="Calibri"/>
                <w:color w:val="625B5C"/>
                <w:lang w:eastAsia="en-GB"/>
              </w:rPr>
            </w:pPr>
            <w:r w:rsidRPr="001F759C">
              <w:rPr>
                <w:rFonts w:asciiTheme="majorHAnsi" w:eastAsia="Times New Roman" w:hAnsiTheme="majorHAnsi" w:cs="Calibri"/>
                <w:color w:val="625B5C"/>
                <w:lang w:eastAsia="en-GB"/>
              </w:rPr>
              <w:t>Training for staff from a specialised Learning Support Teacher</w:t>
            </w:r>
          </w:p>
          <w:p w:rsidR="00CE4234" w:rsidRPr="001F759C" w:rsidRDefault="00CE4234" w:rsidP="00CE4234">
            <w:pPr>
              <w:spacing w:before="600" w:after="600" w:line="240" w:lineRule="auto"/>
              <w:rPr>
                <w:rFonts w:asciiTheme="majorHAnsi" w:eastAsia="Times New Roman" w:hAnsiTheme="majorHAnsi" w:cs="Calibri"/>
                <w:color w:val="625B5C"/>
                <w:lang w:eastAsia="en-GB"/>
              </w:rPr>
            </w:pPr>
            <w:r w:rsidRPr="00CE4234">
              <w:rPr>
                <w:rFonts w:asciiTheme="majorHAnsi" w:eastAsia="Times New Roman" w:hAnsiTheme="majorHAnsi" w:cs="Calibri"/>
                <w:color w:val="625B5C"/>
                <w:lang w:eastAsia="en-GB"/>
              </w:rPr>
              <w:t>(SJM)</w:t>
            </w:r>
          </w:p>
        </w:tc>
        <w:tc>
          <w:tcPr>
            <w:tcW w:w="2297" w:type="dxa"/>
            <w:hideMark/>
          </w:tcPr>
          <w:p w:rsidR="00CE4234" w:rsidRPr="001F759C" w:rsidRDefault="00CE4234" w:rsidP="00CE4234">
            <w:pPr>
              <w:spacing w:before="600" w:after="600" w:line="240" w:lineRule="auto"/>
              <w:rPr>
                <w:rFonts w:asciiTheme="majorHAnsi" w:eastAsia="Times New Roman" w:hAnsiTheme="majorHAnsi" w:cs="Calibri"/>
                <w:color w:val="625B5C"/>
                <w:lang w:eastAsia="en-GB"/>
              </w:rPr>
            </w:pPr>
            <w:r w:rsidRPr="001F759C">
              <w:rPr>
                <w:rFonts w:asciiTheme="majorHAnsi" w:eastAsia="Times New Roman" w:hAnsiTheme="majorHAnsi" w:cs="Calibri"/>
                <w:color w:val="625B5C"/>
                <w:lang w:eastAsia="en-GB"/>
              </w:rPr>
              <w:t>SENCO and leaders have worked closely with a specialist LSA to improve precision teaching tools and to train teacher and support staff to impact on closing the gap for disadvantaged and SEN</w:t>
            </w:r>
          </w:p>
        </w:tc>
        <w:tc>
          <w:tcPr>
            <w:tcW w:w="2410" w:type="dxa"/>
            <w:hideMark/>
          </w:tcPr>
          <w:p w:rsidR="00CE4234" w:rsidRPr="001F759C" w:rsidRDefault="00CE4234" w:rsidP="00CE4234">
            <w:pPr>
              <w:spacing w:before="600" w:after="600" w:line="240" w:lineRule="auto"/>
              <w:rPr>
                <w:rFonts w:asciiTheme="majorHAnsi" w:eastAsia="Times New Roman" w:hAnsiTheme="majorHAnsi" w:cs="Calibri"/>
                <w:color w:val="625B5C"/>
                <w:lang w:eastAsia="en-GB"/>
              </w:rPr>
            </w:pPr>
            <w:r w:rsidRPr="00CE4234">
              <w:rPr>
                <w:rFonts w:asciiTheme="majorHAnsi" w:eastAsia="Times New Roman" w:hAnsiTheme="majorHAnsi" w:cs="Calibri"/>
                <w:color w:val="625B5C"/>
                <w:lang w:eastAsia="en-GB"/>
              </w:rPr>
              <w:t>Continue to work with LSA as and when necessary</w:t>
            </w:r>
          </w:p>
        </w:tc>
        <w:tc>
          <w:tcPr>
            <w:tcW w:w="7938" w:type="dxa"/>
            <w:hideMark/>
          </w:tcPr>
          <w:p w:rsidR="00CE4234" w:rsidRDefault="00CE4234" w:rsidP="00CE4234">
            <w:pPr>
              <w:spacing w:before="600" w:after="600" w:line="240" w:lineRule="auto"/>
              <w:rPr>
                <w:rFonts w:asciiTheme="majorHAnsi" w:eastAsia="Times New Roman" w:hAnsiTheme="majorHAnsi" w:cs="Calibri"/>
                <w:color w:val="625B5C"/>
                <w:lang w:eastAsia="en-GB"/>
              </w:rPr>
            </w:pPr>
            <w:r w:rsidRPr="001F759C">
              <w:rPr>
                <w:rFonts w:asciiTheme="majorHAnsi" w:eastAsia="Times New Roman" w:hAnsiTheme="majorHAnsi" w:cs="Calibri"/>
                <w:color w:val="625B5C"/>
                <w:lang w:eastAsia="en-GB"/>
              </w:rPr>
              <w:t>All the precision teaching tools introduced this year to impact on closing the gap have been carefully planned alongside Learning Support Services and as a result resulting in most children accelerating their learning. Also, staff have become more skilled and developed their knowledge to impact on closing the gaps for our vulnerable groups.</w:t>
            </w:r>
          </w:p>
          <w:p w:rsidR="007F113F" w:rsidRPr="001F759C" w:rsidRDefault="007F113F" w:rsidP="00CE4234">
            <w:pPr>
              <w:spacing w:before="600" w:after="600" w:line="240" w:lineRule="auto"/>
              <w:rPr>
                <w:rFonts w:asciiTheme="majorHAnsi" w:eastAsia="Times New Roman" w:hAnsiTheme="majorHAnsi" w:cs="Calibri"/>
                <w:color w:val="625B5C"/>
                <w:lang w:eastAsia="en-GB"/>
              </w:rPr>
            </w:pPr>
          </w:p>
        </w:tc>
        <w:tc>
          <w:tcPr>
            <w:tcW w:w="1530" w:type="dxa"/>
            <w:hideMark/>
          </w:tcPr>
          <w:p w:rsidR="00CE4234" w:rsidRPr="001F759C" w:rsidRDefault="00CE4234" w:rsidP="00CE4234">
            <w:pPr>
              <w:spacing w:before="600" w:after="600" w:line="240" w:lineRule="auto"/>
              <w:rPr>
                <w:rFonts w:asciiTheme="majorHAnsi" w:eastAsia="Times New Roman" w:hAnsiTheme="majorHAnsi" w:cs="Calibri"/>
                <w:color w:val="625B5C"/>
                <w:lang w:eastAsia="en-GB"/>
              </w:rPr>
            </w:pPr>
            <w:r w:rsidRPr="00CE4234">
              <w:rPr>
                <w:rFonts w:asciiTheme="majorHAnsi" w:eastAsia="Times New Roman" w:hAnsiTheme="majorHAnsi" w:cs="Calibri"/>
                <w:color w:val="625B5C"/>
                <w:lang w:eastAsia="en-GB"/>
              </w:rPr>
              <w:t>£500</w:t>
            </w:r>
          </w:p>
        </w:tc>
      </w:tr>
    </w:tbl>
    <w:p w:rsidR="003C229B" w:rsidRPr="00CE4234" w:rsidRDefault="003C229B" w:rsidP="002E33B3">
      <w:pPr>
        <w:rPr>
          <w:rFonts w:asciiTheme="majorHAnsi" w:hAnsiTheme="majorHAnsi"/>
          <w:b/>
          <w:u w:val="single"/>
        </w:rPr>
      </w:pPr>
    </w:p>
    <w:sectPr w:rsidR="003C229B" w:rsidRPr="00CE4234" w:rsidSect="002E33B3">
      <w:pgSz w:w="16838" w:h="11906" w:orient="landscape"/>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0394"/>
    <w:multiLevelType w:val="multilevel"/>
    <w:tmpl w:val="EEDE4F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6110B9"/>
    <w:multiLevelType w:val="hybridMultilevel"/>
    <w:tmpl w:val="5E405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E15F8"/>
    <w:multiLevelType w:val="hybridMultilevel"/>
    <w:tmpl w:val="00E6E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AC021F"/>
    <w:multiLevelType w:val="hybridMultilevel"/>
    <w:tmpl w:val="FFA04D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36412A86"/>
    <w:multiLevelType w:val="hybridMultilevel"/>
    <w:tmpl w:val="F348B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4C108E"/>
    <w:multiLevelType w:val="hybridMultilevel"/>
    <w:tmpl w:val="BB148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8C4"/>
    <w:rsid w:val="00027D91"/>
    <w:rsid w:val="00045BFD"/>
    <w:rsid w:val="00051CFF"/>
    <w:rsid w:val="000721DC"/>
    <w:rsid w:val="0007593B"/>
    <w:rsid w:val="000E4297"/>
    <w:rsid w:val="000E538C"/>
    <w:rsid w:val="001A57F0"/>
    <w:rsid w:val="001D5078"/>
    <w:rsid w:val="001D5336"/>
    <w:rsid w:val="001F00A2"/>
    <w:rsid w:val="001F14AE"/>
    <w:rsid w:val="001F759C"/>
    <w:rsid w:val="00201DBF"/>
    <w:rsid w:val="00205347"/>
    <w:rsid w:val="0026298B"/>
    <w:rsid w:val="00276374"/>
    <w:rsid w:val="002A717A"/>
    <w:rsid w:val="002C43FD"/>
    <w:rsid w:val="002E33B3"/>
    <w:rsid w:val="002E78DA"/>
    <w:rsid w:val="002F7377"/>
    <w:rsid w:val="00304466"/>
    <w:rsid w:val="00304E43"/>
    <w:rsid w:val="0033285F"/>
    <w:rsid w:val="00370033"/>
    <w:rsid w:val="003B0201"/>
    <w:rsid w:val="003B27FC"/>
    <w:rsid w:val="003B64B7"/>
    <w:rsid w:val="003C229B"/>
    <w:rsid w:val="003D1027"/>
    <w:rsid w:val="0040052C"/>
    <w:rsid w:val="00415022"/>
    <w:rsid w:val="00422025"/>
    <w:rsid w:val="00492A97"/>
    <w:rsid w:val="004A6095"/>
    <w:rsid w:val="004B4370"/>
    <w:rsid w:val="004C1309"/>
    <w:rsid w:val="004F301F"/>
    <w:rsid w:val="00525540"/>
    <w:rsid w:val="00532554"/>
    <w:rsid w:val="005358C3"/>
    <w:rsid w:val="00544097"/>
    <w:rsid w:val="00552C28"/>
    <w:rsid w:val="00555FB1"/>
    <w:rsid w:val="00576884"/>
    <w:rsid w:val="005C1FA1"/>
    <w:rsid w:val="005D0881"/>
    <w:rsid w:val="005F49BD"/>
    <w:rsid w:val="00601D74"/>
    <w:rsid w:val="00604029"/>
    <w:rsid w:val="006130CE"/>
    <w:rsid w:val="00630F40"/>
    <w:rsid w:val="006327C7"/>
    <w:rsid w:val="006576C8"/>
    <w:rsid w:val="00675F04"/>
    <w:rsid w:val="006A4B5C"/>
    <w:rsid w:val="006A769F"/>
    <w:rsid w:val="006B12A6"/>
    <w:rsid w:val="006B20CD"/>
    <w:rsid w:val="006D59A0"/>
    <w:rsid w:val="006F2F7F"/>
    <w:rsid w:val="006F54DB"/>
    <w:rsid w:val="00704E3C"/>
    <w:rsid w:val="00716E3B"/>
    <w:rsid w:val="00754F4F"/>
    <w:rsid w:val="00792130"/>
    <w:rsid w:val="007B0A13"/>
    <w:rsid w:val="007B200E"/>
    <w:rsid w:val="007F113F"/>
    <w:rsid w:val="007F1A7F"/>
    <w:rsid w:val="007F4E9D"/>
    <w:rsid w:val="00832633"/>
    <w:rsid w:val="00841DBD"/>
    <w:rsid w:val="0086792F"/>
    <w:rsid w:val="00897743"/>
    <w:rsid w:val="008E2D64"/>
    <w:rsid w:val="008F42A5"/>
    <w:rsid w:val="0092308D"/>
    <w:rsid w:val="009454DA"/>
    <w:rsid w:val="0097147A"/>
    <w:rsid w:val="009A7895"/>
    <w:rsid w:val="009D3EBF"/>
    <w:rsid w:val="009E4E8E"/>
    <w:rsid w:val="009E53DE"/>
    <w:rsid w:val="00A21DBA"/>
    <w:rsid w:val="00A7235B"/>
    <w:rsid w:val="00A978EC"/>
    <w:rsid w:val="00A97D74"/>
    <w:rsid w:val="00AA526A"/>
    <w:rsid w:val="00AA6B40"/>
    <w:rsid w:val="00AB46E6"/>
    <w:rsid w:val="00AC6E0E"/>
    <w:rsid w:val="00AD0C79"/>
    <w:rsid w:val="00AF4B18"/>
    <w:rsid w:val="00B279E6"/>
    <w:rsid w:val="00B446A3"/>
    <w:rsid w:val="00B50943"/>
    <w:rsid w:val="00B83365"/>
    <w:rsid w:val="00B833C6"/>
    <w:rsid w:val="00B95416"/>
    <w:rsid w:val="00BB5D1E"/>
    <w:rsid w:val="00BD230E"/>
    <w:rsid w:val="00BD2AAE"/>
    <w:rsid w:val="00C20196"/>
    <w:rsid w:val="00C5368A"/>
    <w:rsid w:val="00CC6158"/>
    <w:rsid w:val="00CE4234"/>
    <w:rsid w:val="00CF0956"/>
    <w:rsid w:val="00D44157"/>
    <w:rsid w:val="00D90331"/>
    <w:rsid w:val="00DA322A"/>
    <w:rsid w:val="00DC1AF9"/>
    <w:rsid w:val="00DF2A95"/>
    <w:rsid w:val="00E17F5C"/>
    <w:rsid w:val="00E228C4"/>
    <w:rsid w:val="00E331C6"/>
    <w:rsid w:val="00E47959"/>
    <w:rsid w:val="00E528E0"/>
    <w:rsid w:val="00E65A90"/>
    <w:rsid w:val="00E66431"/>
    <w:rsid w:val="00E76453"/>
    <w:rsid w:val="00EA1B10"/>
    <w:rsid w:val="00ED4889"/>
    <w:rsid w:val="00F4416F"/>
    <w:rsid w:val="00F91031"/>
    <w:rsid w:val="00FB528D"/>
    <w:rsid w:val="00FB5F98"/>
    <w:rsid w:val="00FF572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2F4F2C-3089-4FE6-A6DF-A1DB8C8BA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13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2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147A"/>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C53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2395">
      <w:bodyDiv w:val="1"/>
      <w:marLeft w:val="0"/>
      <w:marRight w:val="0"/>
      <w:marTop w:val="0"/>
      <w:marBottom w:val="0"/>
      <w:divBdr>
        <w:top w:val="none" w:sz="0" w:space="0" w:color="auto"/>
        <w:left w:val="none" w:sz="0" w:space="0" w:color="auto"/>
        <w:bottom w:val="none" w:sz="0" w:space="0" w:color="auto"/>
        <w:right w:val="none" w:sz="0" w:space="0" w:color="auto"/>
      </w:divBdr>
    </w:div>
    <w:div w:id="161236853">
      <w:bodyDiv w:val="1"/>
      <w:marLeft w:val="0"/>
      <w:marRight w:val="0"/>
      <w:marTop w:val="0"/>
      <w:marBottom w:val="0"/>
      <w:divBdr>
        <w:top w:val="none" w:sz="0" w:space="0" w:color="auto"/>
        <w:left w:val="none" w:sz="0" w:space="0" w:color="auto"/>
        <w:bottom w:val="none" w:sz="0" w:space="0" w:color="auto"/>
        <w:right w:val="none" w:sz="0" w:space="0" w:color="auto"/>
      </w:divBdr>
    </w:div>
    <w:div w:id="396976848">
      <w:bodyDiv w:val="1"/>
      <w:marLeft w:val="0"/>
      <w:marRight w:val="0"/>
      <w:marTop w:val="0"/>
      <w:marBottom w:val="0"/>
      <w:divBdr>
        <w:top w:val="none" w:sz="0" w:space="0" w:color="auto"/>
        <w:left w:val="none" w:sz="0" w:space="0" w:color="auto"/>
        <w:bottom w:val="none" w:sz="0" w:space="0" w:color="auto"/>
        <w:right w:val="none" w:sz="0" w:space="0" w:color="auto"/>
      </w:divBdr>
    </w:div>
    <w:div w:id="912855194">
      <w:bodyDiv w:val="1"/>
      <w:marLeft w:val="0"/>
      <w:marRight w:val="0"/>
      <w:marTop w:val="0"/>
      <w:marBottom w:val="0"/>
      <w:divBdr>
        <w:top w:val="none" w:sz="0" w:space="0" w:color="auto"/>
        <w:left w:val="none" w:sz="0" w:space="0" w:color="auto"/>
        <w:bottom w:val="none" w:sz="0" w:space="0" w:color="auto"/>
        <w:right w:val="none" w:sz="0" w:space="0" w:color="auto"/>
      </w:divBdr>
    </w:div>
    <w:div w:id="943343182">
      <w:bodyDiv w:val="1"/>
      <w:marLeft w:val="0"/>
      <w:marRight w:val="0"/>
      <w:marTop w:val="0"/>
      <w:marBottom w:val="0"/>
      <w:divBdr>
        <w:top w:val="none" w:sz="0" w:space="0" w:color="auto"/>
        <w:left w:val="none" w:sz="0" w:space="0" w:color="auto"/>
        <w:bottom w:val="none" w:sz="0" w:space="0" w:color="auto"/>
        <w:right w:val="none" w:sz="0" w:space="0" w:color="auto"/>
      </w:divBdr>
    </w:div>
    <w:div w:id="962225634">
      <w:bodyDiv w:val="1"/>
      <w:marLeft w:val="0"/>
      <w:marRight w:val="0"/>
      <w:marTop w:val="0"/>
      <w:marBottom w:val="0"/>
      <w:divBdr>
        <w:top w:val="none" w:sz="0" w:space="0" w:color="auto"/>
        <w:left w:val="none" w:sz="0" w:space="0" w:color="auto"/>
        <w:bottom w:val="none" w:sz="0" w:space="0" w:color="auto"/>
        <w:right w:val="none" w:sz="0" w:space="0" w:color="auto"/>
      </w:divBdr>
    </w:div>
    <w:div w:id="1372801727">
      <w:bodyDiv w:val="1"/>
      <w:marLeft w:val="0"/>
      <w:marRight w:val="0"/>
      <w:marTop w:val="0"/>
      <w:marBottom w:val="0"/>
      <w:divBdr>
        <w:top w:val="none" w:sz="0" w:space="0" w:color="auto"/>
        <w:left w:val="none" w:sz="0" w:space="0" w:color="auto"/>
        <w:bottom w:val="none" w:sz="0" w:space="0" w:color="auto"/>
        <w:right w:val="none" w:sz="0" w:space="0" w:color="auto"/>
      </w:divBdr>
    </w:div>
    <w:div w:id="1610163902">
      <w:bodyDiv w:val="1"/>
      <w:marLeft w:val="0"/>
      <w:marRight w:val="0"/>
      <w:marTop w:val="0"/>
      <w:marBottom w:val="0"/>
      <w:divBdr>
        <w:top w:val="none" w:sz="0" w:space="0" w:color="auto"/>
        <w:left w:val="none" w:sz="0" w:space="0" w:color="auto"/>
        <w:bottom w:val="none" w:sz="0" w:space="0" w:color="auto"/>
        <w:right w:val="none" w:sz="0" w:space="0" w:color="auto"/>
      </w:divBdr>
    </w:div>
    <w:div w:id="193135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Pupil premium is additional funding provided to schools for supporting more disadvantaged pupils in order to ensure they benefit from the same opportunities as all other children</vt:lpstr>
    </vt:vector>
  </TitlesOfParts>
  <Company>Redcar and Cleveland Council</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is additional funding provided to schools for supporting more disadvantaged pupils in order to ensure they benefit from the same opportunities as all other children</dc:title>
  <dc:creator>Chistine</dc:creator>
  <cp:lastModifiedBy>Thornton, Sarah</cp:lastModifiedBy>
  <cp:revision>2</cp:revision>
  <dcterms:created xsi:type="dcterms:W3CDTF">2018-10-20T21:01:00Z</dcterms:created>
  <dcterms:modified xsi:type="dcterms:W3CDTF">2018-10-20T21:01:00Z</dcterms:modified>
</cp:coreProperties>
</file>